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8296"/>
        </w:tabs>
        <w:ind w:firstLine="3855" w:firstLineChars="1200"/>
      </w:pPr>
      <w:bookmarkStart w:id="0" w:name="_Toc91695359"/>
      <w:r>
        <w:rPr>
          <w:rFonts w:ascii="宋体" w:hAnsi="宋体" w:eastAsia="宋体"/>
          <w:b/>
          <w:color w:val="000000"/>
          <w:sz w:val="32"/>
        </w:rPr>
        <w:t>目 录</w:t>
      </w:r>
    </w:p>
    <w:p>
      <w:pPr>
        <w:pStyle w:val="7"/>
        <w:tabs>
          <w:tab w:val="right" w:leader="dot" w:pos="8296"/>
        </w:tabs>
        <w:rPr>
          <w:rFonts w:asciiTheme="minorEastAsia" w:hAnsiTheme="minorEastAsia"/>
          <w:b/>
          <w:color w:val="000000"/>
          <w:sz w:val="32"/>
          <w:szCs w:val="32"/>
        </w:rPr>
      </w:pPr>
      <w:r>
        <w:fldChar w:fldCharType="begin"/>
      </w:r>
      <w:r>
        <w:instrText xml:space="preserve"> HYPERLINK \l "_Toc91695359" </w:instrText>
      </w:r>
      <w:r>
        <w:fldChar w:fldCharType="separate"/>
      </w:r>
      <w:r>
        <w:rPr>
          <w:rFonts w:hint="eastAsia" w:ascii="宋体" w:hAnsi="宋体" w:eastAsia="宋体"/>
          <w:b/>
        </w:rPr>
        <w:t>一、唐山市人民检察院收支预算安排</w:t>
      </w:r>
      <w:r>
        <w:rPr>
          <w:rFonts w:asciiTheme="minorEastAsia" w:hAnsiTheme="minorEastAsia"/>
          <w:b/>
          <w:color w:val="000000"/>
          <w:sz w:val="32"/>
          <w:szCs w:val="32"/>
        </w:rPr>
        <w:tab/>
      </w:r>
      <w:r>
        <w:rPr>
          <w:rFonts w:hint="eastAsia" w:asciiTheme="minorEastAsia" w:hAnsiTheme="minorEastAsia"/>
          <w:b/>
          <w:color w:val="000000"/>
          <w:sz w:val="32"/>
          <w:szCs w:val="32"/>
        </w:rPr>
        <w:t>2</w:t>
      </w:r>
      <w:r>
        <w:rPr>
          <w:rFonts w:hint="eastAsia" w:asciiTheme="minorEastAsia" w:hAnsiTheme="minorEastAsia"/>
          <w:b/>
          <w:color w:val="000000"/>
          <w:sz w:val="32"/>
          <w:szCs w:val="32"/>
        </w:rPr>
        <w:fldChar w:fldCharType="end"/>
      </w:r>
    </w:p>
    <w:p>
      <w:pPr>
        <w:pStyle w:val="7"/>
        <w:tabs>
          <w:tab w:val="right" w:leader="dot" w:pos="8296"/>
        </w:tabs>
        <w:rPr>
          <w:rFonts w:asciiTheme="minorEastAsia" w:hAnsiTheme="minorEastAsia"/>
          <w:b/>
          <w:color w:val="000000"/>
          <w:sz w:val="32"/>
          <w:szCs w:val="32"/>
        </w:rPr>
      </w:pPr>
      <w:r>
        <w:fldChar w:fldCharType="begin"/>
      </w:r>
      <w:r>
        <w:instrText xml:space="preserve"> HYPERLINK \l "_Toc91695360" </w:instrText>
      </w:r>
      <w:r>
        <w:fldChar w:fldCharType="separate"/>
      </w:r>
      <w:r>
        <w:rPr>
          <w:rFonts w:hint="eastAsia" w:ascii="宋体" w:hAnsi="宋体" w:eastAsia="宋体"/>
          <w:b/>
        </w:rPr>
        <w:t>二、唐山市冀东地区人民检察院收支预算安排</w:t>
      </w:r>
      <w:r>
        <w:rPr>
          <w:rFonts w:asciiTheme="minorEastAsia" w:hAnsiTheme="minorEastAsia"/>
          <w:b/>
          <w:color w:val="000000"/>
          <w:sz w:val="32"/>
          <w:szCs w:val="32"/>
        </w:rPr>
        <w:tab/>
      </w:r>
      <w:r>
        <w:rPr>
          <w:rFonts w:hint="eastAsia" w:asciiTheme="minorEastAsia" w:hAnsiTheme="minorEastAsia"/>
          <w:b/>
          <w:color w:val="000000"/>
          <w:sz w:val="32"/>
          <w:szCs w:val="32"/>
        </w:rPr>
        <w:t>49</w:t>
      </w:r>
      <w:r>
        <w:rPr>
          <w:rFonts w:hint="eastAsia" w:asciiTheme="minorEastAsia" w:hAnsiTheme="minorEastAsia"/>
          <w:b/>
          <w:color w:val="000000"/>
          <w:sz w:val="32"/>
          <w:szCs w:val="32"/>
        </w:rPr>
        <w:fldChar w:fldCharType="end"/>
      </w:r>
    </w:p>
    <w:p>
      <w:pPr>
        <w:pStyle w:val="7"/>
        <w:tabs>
          <w:tab w:val="right" w:leader="dot" w:pos="8296"/>
        </w:tabs>
        <w:rPr>
          <w:rFonts w:ascii="宋体" w:hAnsi="宋体" w:eastAsia="宋体"/>
          <w:b/>
          <w:color w:val="000000"/>
          <w:sz w:val="32"/>
        </w:rPr>
      </w:pPr>
      <w:r>
        <w:fldChar w:fldCharType="begin"/>
      </w:r>
      <w:r>
        <w:instrText xml:space="preserve"> HYPERLINK \l "_Toc91695361" </w:instrText>
      </w:r>
      <w:r>
        <w:fldChar w:fldCharType="separate"/>
      </w:r>
      <w:r>
        <w:rPr>
          <w:rFonts w:hint="eastAsia" w:ascii="宋体" w:hAnsi="宋体" w:eastAsia="宋体"/>
          <w:b/>
        </w:rPr>
        <w:t>三、唐山高新技术产业开发区人民检察院收支预算安排</w:t>
      </w:r>
      <w:r>
        <w:rPr>
          <w:rFonts w:ascii="宋体" w:hAnsi="宋体" w:eastAsia="宋体"/>
          <w:b/>
          <w:color w:val="000000"/>
          <w:sz w:val="32"/>
        </w:rPr>
        <w:tab/>
      </w:r>
      <w:r>
        <w:rPr>
          <w:rFonts w:hint="eastAsia" w:ascii="宋体" w:hAnsi="宋体" w:eastAsia="宋体"/>
          <w:b/>
          <w:color w:val="000000"/>
          <w:sz w:val="32"/>
        </w:rPr>
        <w:t>84</w:t>
      </w:r>
      <w:r>
        <w:rPr>
          <w:rFonts w:hint="eastAsia" w:ascii="宋体" w:hAnsi="宋体" w:eastAsia="宋体"/>
          <w:b/>
          <w:color w:val="000000"/>
          <w:sz w:val="32"/>
        </w:rPr>
        <w:fldChar w:fldCharType="end"/>
      </w:r>
    </w:p>
    <w:p>
      <w:pPr>
        <w:pStyle w:val="2"/>
        <w:jc w:val="center"/>
      </w:pPr>
    </w:p>
    <w:p>
      <w:pPr>
        <w:pStyle w:val="2"/>
        <w:jc w:val="center"/>
      </w:pPr>
    </w:p>
    <w:p>
      <w:pPr>
        <w:pStyle w:val="2"/>
      </w:pPr>
    </w:p>
    <w:p>
      <w:pPr>
        <w:pStyle w:val="2"/>
        <w:jc w:val="center"/>
      </w:pPr>
    </w:p>
    <w:p/>
    <w:p/>
    <w:p/>
    <w:p/>
    <w:p/>
    <w:p/>
    <w:p/>
    <w:p/>
    <w:p>
      <w:pPr>
        <w:pStyle w:val="2"/>
        <w:rPr>
          <w:rFonts w:ascii="Tahoma" w:hAnsi="Tahoma" w:eastAsia="微软雅黑"/>
          <w:b w:val="0"/>
          <w:bCs w:val="0"/>
          <w:kern w:val="0"/>
          <w:sz w:val="22"/>
          <w:szCs w:val="22"/>
        </w:rPr>
      </w:pPr>
    </w:p>
    <w:p/>
    <w:p/>
    <w:p/>
    <w:p/>
    <w:p>
      <w:pPr>
        <w:pStyle w:val="2"/>
        <w:jc w:val="center"/>
        <w:sectPr>
          <w:footerReference r:id="rId5" w:type="default"/>
          <w:pgSz w:w="11906" w:h="16838"/>
          <w:pgMar w:top="1440" w:right="1800" w:bottom="1440" w:left="1800" w:header="851" w:footer="992" w:gutter="0"/>
          <w:cols w:space="425" w:num="1"/>
          <w:docGrid w:type="lines" w:linePitch="312" w:charSpace="0"/>
        </w:sectPr>
      </w:pPr>
      <w:r>
        <w:t>一、唐山市人民检察院收支预算安排</w:t>
      </w:r>
      <w:bookmarkEnd w:id="0"/>
    </w:p>
    <w:p>
      <w:pPr>
        <w:jc w:val="center"/>
        <w:rPr>
          <w:rFonts w:ascii="宋体" w:hAnsi="宋体" w:eastAsia="宋体"/>
          <w:b/>
          <w:color w:val="000000"/>
          <w:sz w:val="44"/>
        </w:rPr>
      </w:pPr>
      <w:r>
        <w:rPr>
          <w:rFonts w:hint="eastAsia" w:ascii="宋体" w:hAnsi="宋体" w:eastAsia="宋体"/>
          <w:b/>
          <w:color w:val="000000"/>
          <w:sz w:val="44"/>
        </w:rPr>
        <w:t>唐山市人民检察院职责任务与目标</w:t>
      </w:r>
    </w:p>
    <w:p>
      <w:pPr>
        <w:spacing w:line="480" w:lineRule="auto"/>
        <w:rPr>
          <w:rFonts w:ascii="宋体" w:hAnsi="宋体" w:eastAsia="宋体"/>
          <w:b/>
          <w:color w:val="000000"/>
          <w:sz w:val="28"/>
        </w:rPr>
      </w:pPr>
      <w:r>
        <w:rPr>
          <w:rFonts w:ascii="宋体" w:hAnsi="宋体" w:eastAsia="宋体"/>
          <w:b/>
          <w:color w:val="000000"/>
          <w:sz w:val="28"/>
        </w:rPr>
        <w:t>一、主要职责</w:t>
      </w:r>
    </w:p>
    <w:p>
      <w:pPr>
        <w:spacing w:after="100" w:afterAutospacing="1"/>
        <w:jc w:val="center"/>
        <w:rPr>
          <w:rFonts w:ascii="宋体" w:hAnsi="宋体"/>
          <w:b/>
          <w:sz w:val="28"/>
          <w:szCs w:val="28"/>
        </w:rPr>
      </w:pPr>
      <w:r>
        <w:rPr>
          <w:rFonts w:hint="eastAsia" w:ascii="宋体" w:hAnsi="宋体"/>
          <w:b/>
          <w:sz w:val="28"/>
          <w:szCs w:val="28"/>
        </w:rPr>
        <w:t>唐山市人民检察院主要职责</w:t>
      </w:r>
    </w:p>
    <w:p>
      <w:pPr>
        <w:ind w:firstLine="640" w:firstLineChars="200"/>
        <w:rPr>
          <w:rFonts w:ascii="仿宋_GB2312" w:eastAsia="仿宋_GB2312"/>
          <w:sz w:val="32"/>
          <w:szCs w:val="32"/>
        </w:rPr>
      </w:pPr>
      <w:r>
        <w:rPr>
          <w:rFonts w:hint="eastAsia" w:ascii="仿宋_GB2312" w:eastAsia="仿宋_GB2312"/>
          <w:sz w:val="32"/>
          <w:szCs w:val="32"/>
        </w:rPr>
        <w:t>1、深入贯彻习近平新时代中国特色社会主义思想，深入贯彻党的路线方针和决策部署，坚持党对检察工作的绝对领导，坚决维护习近平总书记的核心地位，坚决维护党中央权威和集中统一领导。</w:t>
      </w:r>
    </w:p>
    <w:p>
      <w:pPr>
        <w:ind w:firstLine="640" w:firstLineChars="200"/>
        <w:rPr>
          <w:rFonts w:ascii="仿宋_GB2312" w:eastAsia="仿宋_GB2312"/>
          <w:sz w:val="32"/>
          <w:szCs w:val="32"/>
        </w:rPr>
      </w:pPr>
      <w:r>
        <w:rPr>
          <w:rFonts w:hint="eastAsia" w:ascii="仿宋_GB2312" w:eastAsia="仿宋_GB2312"/>
          <w:sz w:val="32"/>
          <w:szCs w:val="32"/>
        </w:rPr>
        <w:t>2、依法向市人民代表大会及其常务委员会提出议案。</w:t>
      </w:r>
    </w:p>
    <w:p>
      <w:pPr>
        <w:ind w:firstLine="640" w:firstLineChars="200"/>
        <w:rPr>
          <w:rFonts w:ascii="仿宋_GB2312" w:eastAsia="仿宋_GB2312"/>
          <w:sz w:val="32"/>
          <w:szCs w:val="32"/>
        </w:rPr>
      </w:pPr>
      <w:r>
        <w:rPr>
          <w:rFonts w:hint="eastAsia" w:ascii="仿宋_GB2312" w:eastAsia="仿宋_GB2312"/>
          <w:sz w:val="32"/>
          <w:szCs w:val="32"/>
        </w:rPr>
        <w:t>3、领导基层人民检察院的工作。对基层人民检察院相关业务进行指导，贯彻落实检察工作方针、总体规划，部署检察工作任务。</w:t>
      </w:r>
    </w:p>
    <w:p>
      <w:pPr>
        <w:ind w:firstLine="640" w:firstLineChars="200"/>
        <w:rPr>
          <w:rFonts w:ascii="仿宋_GB2312" w:eastAsia="仿宋_GB2312"/>
          <w:sz w:val="32"/>
          <w:szCs w:val="32"/>
        </w:rPr>
      </w:pPr>
      <w:r>
        <w:rPr>
          <w:rFonts w:hint="eastAsia" w:ascii="仿宋_GB2312" w:eastAsia="仿宋_GB2312"/>
          <w:sz w:val="32"/>
          <w:szCs w:val="32"/>
        </w:rPr>
        <w:t>4、依照法律规定对由本院直接受理的刑事案件行使侦查权，领导基层人民检察院开展对依照法律规定由人民检察院直接受理刑事案件的侦查工作。</w:t>
      </w:r>
    </w:p>
    <w:p>
      <w:pPr>
        <w:ind w:firstLine="640" w:firstLineChars="200"/>
        <w:rPr>
          <w:rFonts w:ascii="仿宋_GB2312" w:eastAsia="仿宋_GB2312"/>
          <w:sz w:val="32"/>
          <w:szCs w:val="32"/>
        </w:rPr>
      </w:pPr>
      <w:r>
        <w:rPr>
          <w:rFonts w:hint="eastAsia" w:ascii="仿宋_GB2312" w:eastAsia="仿宋_GB2312"/>
          <w:sz w:val="32"/>
          <w:szCs w:val="32"/>
        </w:rPr>
        <w:t>5、对全市性的重大刑事案件依法审查批准逮捕、决定逮捕、提起公诉，领导基层人民检察院开展对刑事犯罪案件的审查批准逮捕、决定逮捕，提起公诉工作。</w:t>
      </w:r>
    </w:p>
    <w:p>
      <w:pPr>
        <w:ind w:firstLine="640" w:firstLineChars="200"/>
        <w:rPr>
          <w:rFonts w:ascii="仿宋_GB2312" w:eastAsia="仿宋_GB2312"/>
          <w:sz w:val="32"/>
          <w:szCs w:val="32"/>
        </w:rPr>
      </w:pPr>
      <w:r>
        <w:rPr>
          <w:rFonts w:hint="eastAsia" w:ascii="仿宋_GB2312" w:eastAsia="仿宋_GB2312"/>
          <w:sz w:val="32"/>
          <w:szCs w:val="32"/>
        </w:rPr>
        <w:t>6、负责应由本院承办的刑事、民事、行政诉讼活动及刑事、民事、行政判决和裁定等生效法律文书执行的法律监督工作，领导基层人民检察院对刑事、民事、行政诉讼活动及判决和裁定等生效法律文书执行的法律监督工作。</w:t>
      </w:r>
    </w:p>
    <w:p>
      <w:pPr>
        <w:ind w:firstLine="640" w:firstLineChars="200"/>
        <w:rPr>
          <w:rFonts w:ascii="仿宋_GB2312" w:eastAsia="仿宋_GB2312"/>
          <w:sz w:val="32"/>
          <w:szCs w:val="32"/>
        </w:rPr>
      </w:pPr>
      <w:r>
        <w:rPr>
          <w:rFonts w:hint="eastAsia" w:ascii="仿宋_GB2312" w:eastAsia="仿宋_GB2312"/>
          <w:sz w:val="32"/>
          <w:szCs w:val="32"/>
        </w:rPr>
        <w:t>7、负责应由本院承办的提起公益诉讼工作，领导基层人民检察院开展提起公益诉讼工作。</w:t>
      </w:r>
    </w:p>
    <w:p>
      <w:pPr>
        <w:ind w:firstLine="640" w:firstLineChars="200"/>
        <w:rPr>
          <w:rFonts w:ascii="仿宋_GB2312" w:eastAsia="仿宋_GB2312"/>
          <w:sz w:val="32"/>
          <w:szCs w:val="32"/>
        </w:rPr>
      </w:pPr>
      <w:r>
        <w:rPr>
          <w:rFonts w:hint="eastAsia" w:ascii="仿宋_GB2312" w:eastAsia="仿宋_GB2312"/>
          <w:sz w:val="32"/>
          <w:szCs w:val="32"/>
        </w:rPr>
        <w:t xml:space="preserve">8、依法受理核准追诉案件，审查是否上报。 </w:t>
      </w:r>
    </w:p>
    <w:p>
      <w:pPr>
        <w:ind w:firstLine="640" w:firstLineChars="200"/>
        <w:rPr>
          <w:rFonts w:ascii="仿宋_GB2312" w:eastAsia="仿宋_GB2312"/>
          <w:sz w:val="32"/>
          <w:szCs w:val="32"/>
        </w:rPr>
      </w:pPr>
      <w:r>
        <w:rPr>
          <w:rFonts w:hint="eastAsia" w:ascii="仿宋_GB2312" w:eastAsia="仿宋_GB2312"/>
          <w:sz w:val="32"/>
          <w:szCs w:val="32"/>
        </w:rPr>
        <w:t>9、负责应由本院承办的对监狱、看守所等执法活动的法律监督工作，领导基层人民检察院开展对看守所、社区矫正等执法活动的法律监督工作。</w:t>
      </w:r>
    </w:p>
    <w:p>
      <w:pPr>
        <w:ind w:firstLine="640" w:firstLineChars="200"/>
        <w:rPr>
          <w:rFonts w:ascii="仿宋_GB2312" w:eastAsia="仿宋_GB2312"/>
          <w:sz w:val="32"/>
          <w:szCs w:val="32"/>
        </w:rPr>
      </w:pPr>
      <w:r>
        <w:rPr>
          <w:rFonts w:hint="eastAsia" w:ascii="仿宋_GB2312" w:eastAsia="仿宋_GB2312"/>
          <w:sz w:val="32"/>
          <w:szCs w:val="32"/>
        </w:rPr>
        <w:t>10、受理向本院的控告申诉，领导基层人民检察院控告申诉检察工作。</w:t>
      </w:r>
    </w:p>
    <w:p>
      <w:pPr>
        <w:ind w:firstLine="640" w:firstLineChars="200"/>
        <w:rPr>
          <w:rFonts w:ascii="仿宋_GB2312" w:eastAsia="仿宋_GB2312"/>
          <w:sz w:val="32"/>
          <w:szCs w:val="32"/>
        </w:rPr>
      </w:pPr>
      <w:r>
        <w:rPr>
          <w:rFonts w:hint="eastAsia" w:ascii="仿宋_GB2312" w:eastAsia="仿宋_GB2312"/>
          <w:sz w:val="32"/>
          <w:szCs w:val="32"/>
        </w:rPr>
        <w:t>11、对基层人民检察院在行使检察权中作出的决定进行审查，纠正错误决定。</w:t>
      </w:r>
    </w:p>
    <w:p>
      <w:pPr>
        <w:ind w:firstLine="640" w:firstLineChars="200"/>
        <w:rPr>
          <w:rFonts w:ascii="仿宋_GB2312" w:eastAsia="仿宋_GB2312"/>
          <w:sz w:val="32"/>
          <w:szCs w:val="32"/>
        </w:rPr>
      </w:pPr>
      <w:r>
        <w:rPr>
          <w:rFonts w:hint="eastAsia" w:ascii="仿宋_GB2312" w:eastAsia="仿宋_GB2312"/>
          <w:sz w:val="32"/>
          <w:szCs w:val="32"/>
        </w:rPr>
        <w:t>12、组织对检察工作中法律政策具体应用问题进行研究，向省人民检察院及其有关部门提出立法及司法解释建议，指导全市检察机关理论研究工作。</w:t>
      </w:r>
    </w:p>
    <w:p>
      <w:pPr>
        <w:ind w:firstLine="640" w:firstLineChars="200"/>
        <w:rPr>
          <w:rFonts w:ascii="仿宋_GB2312" w:eastAsia="仿宋_GB2312"/>
          <w:sz w:val="32"/>
          <w:szCs w:val="32"/>
        </w:rPr>
      </w:pPr>
      <w:r>
        <w:rPr>
          <w:rFonts w:hint="eastAsia" w:ascii="仿宋_GB2312" w:eastAsia="仿宋_GB2312"/>
          <w:sz w:val="32"/>
          <w:szCs w:val="32"/>
        </w:rPr>
        <w:t>13、负责检察机关队伍建设和思想政治工作。领导基层人民检察院依法管理检察官及其他检察人员的工作，制定相关人员管理办法，组织指导全市检察机关教育培训工作。</w:t>
      </w:r>
    </w:p>
    <w:p>
      <w:pPr>
        <w:ind w:firstLine="640" w:firstLineChars="200"/>
        <w:rPr>
          <w:rFonts w:ascii="仿宋_GB2312" w:eastAsia="仿宋_GB2312"/>
          <w:sz w:val="32"/>
          <w:szCs w:val="32"/>
        </w:rPr>
      </w:pPr>
      <w:r>
        <w:rPr>
          <w:rFonts w:hint="eastAsia" w:ascii="仿宋_GB2312" w:eastAsia="仿宋_GB2312"/>
          <w:sz w:val="32"/>
          <w:szCs w:val="32"/>
        </w:rPr>
        <w:t>14、按管理权限，协同市级主管部门和县（市、区）委主管部门管理、考核基层人民检察院领导班子、领导干部。</w:t>
      </w:r>
    </w:p>
    <w:p>
      <w:pPr>
        <w:ind w:firstLine="640" w:firstLineChars="200"/>
        <w:rPr>
          <w:rFonts w:ascii="仿宋_GB2312" w:eastAsia="仿宋_GB2312"/>
          <w:sz w:val="32"/>
          <w:szCs w:val="32"/>
        </w:rPr>
      </w:pPr>
      <w:r>
        <w:rPr>
          <w:rFonts w:hint="eastAsia" w:ascii="仿宋_GB2312" w:eastAsia="仿宋_GB2312"/>
          <w:sz w:val="32"/>
          <w:szCs w:val="32"/>
        </w:rPr>
        <w:t>15、领导基层人民检察院的检务督查工作。</w:t>
      </w:r>
    </w:p>
    <w:p>
      <w:pPr>
        <w:ind w:firstLine="640" w:firstLineChars="200"/>
        <w:rPr>
          <w:rFonts w:ascii="仿宋_GB2312" w:eastAsia="仿宋_GB2312"/>
          <w:sz w:val="32"/>
          <w:szCs w:val="32"/>
        </w:rPr>
      </w:pPr>
      <w:r>
        <w:rPr>
          <w:rFonts w:hint="eastAsia" w:ascii="仿宋_GB2312" w:eastAsia="仿宋_GB2312"/>
          <w:sz w:val="32"/>
          <w:szCs w:val="32"/>
        </w:rPr>
        <w:t>16、规划和指导全市检察机关的财务装备工作，指导全市检察机关技术工作和信息化建设工作。</w:t>
      </w:r>
    </w:p>
    <w:p>
      <w:pPr>
        <w:ind w:firstLine="640" w:firstLineChars="200"/>
        <w:rPr>
          <w:rFonts w:ascii="仿宋_GB2312" w:eastAsia="仿宋_GB2312"/>
          <w:sz w:val="32"/>
          <w:szCs w:val="32"/>
        </w:rPr>
      </w:pPr>
      <w:r>
        <w:rPr>
          <w:rFonts w:hint="eastAsia" w:ascii="仿宋_GB2312" w:eastAsia="仿宋_GB2312"/>
          <w:sz w:val="32"/>
          <w:szCs w:val="32"/>
        </w:rPr>
        <w:t>17、完成其他应当由本院负责的工作。</w:t>
      </w:r>
    </w:p>
    <w:p>
      <w:pPr>
        <w:pStyle w:val="8"/>
        <w:shd w:val="clear" w:color="auto" w:fill="FFFFFF"/>
        <w:snapToGrid w:val="0"/>
        <w:spacing w:before="0" w:beforeAutospacing="0" w:after="0" w:afterAutospacing="0" w:line="360" w:lineRule="auto"/>
        <w:ind w:firstLine="420" w:firstLineChars="200"/>
        <w:rPr>
          <w:color w:val="333333"/>
          <w:sz w:val="21"/>
          <w:szCs w:val="21"/>
        </w:rPr>
      </w:pPr>
    </w:p>
    <w:p>
      <w:pPr>
        <w:spacing w:line="480" w:lineRule="auto"/>
        <w:rPr>
          <w:rFonts w:ascii="宋体" w:hAnsi="宋体" w:eastAsia="宋体"/>
          <w:b/>
          <w:color w:val="000000"/>
          <w:sz w:val="32"/>
          <w:szCs w:val="32"/>
        </w:rPr>
      </w:pPr>
      <w:r>
        <w:rPr>
          <w:rFonts w:ascii="宋体" w:hAnsi="宋体" w:eastAsia="宋体"/>
          <w:b/>
          <w:color w:val="000000"/>
          <w:sz w:val="32"/>
          <w:szCs w:val="32"/>
        </w:rPr>
        <w:t>二、主要任务及目标规划</w:t>
      </w:r>
    </w:p>
    <w:p>
      <w:pPr>
        <w:pStyle w:val="10"/>
        <w:spacing w:before="312" w:beforeLines="100" w:after="312" w:afterLines="100"/>
        <w:ind w:left="0" w:leftChars="0" w:firstLine="643"/>
        <w:jc w:val="center"/>
        <w:rPr>
          <w:rFonts w:asciiTheme="minorEastAsia" w:hAnsiTheme="minorEastAsia" w:eastAsiaTheme="minorEastAsia"/>
          <w:b/>
          <w:szCs w:val="32"/>
        </w:rPr>
      </w:pPr>
      <w:r>
        <w:rPr>
          <w:rFonts w:hint="eastAsia" w:asciiTheme="minorEastAsia" w:hAnsiTheme="minorEastAsia" w:eastAsiaTheme="minorEastAsia"/>
          <w:b/>
          <w:szCs w:val="32"/>
        </w:rPr>
        <w:t>2022主要任务及主要目标规划</w:t>
      </w:r>
    </w:p>
    <w:p>
      <w:pPr>
        <w:pStyle w:val="10"/>
        <w:spacing w:after="0"/>
        <w:ind w:left="0" w:leftChars="0" w:firstLine="640"/>
        <w:jc w:val="left"/>
        <w:rPr>
          <w:rFonts w:ascii="仿宋" w:hAnsi="仿宋" w:eastAsia="仿宋"/>
        </w:rPr>
      </w:pPr>
      <w:r>
        <w:rPr>
          <w:rFonts w:hint="eastAsia" w:ascii="仿宋" w:hAnsi="仿宋" w:eastAsia="仿宋"/>
        </w:rPr>
        <w:t>2022</w:t>
      </w:r>
      <w:r>
        <w:rPr>
          <w:rFonts w:ascii="仿宋" w:hAnsi="仿宋" w:eastAsia="仿宋"/>
        </w:rPr>
        <w:t>年，党带领我们踏上了实现第二个百年奋斗目标新的赶考之路，全市检察机关将坚持以</w:t>
      </w:r>
      <w:r>
        <w:rPr>
          <w:rFonts w:ascii="仿宋" w:hAnsi="仿宋" w:eastAsia="仿宋"/>
          <w:szCs w:val="32"/>
        </w:rPr>
        <w:t>习近平新时代中国特色社会主义思想为指导，深入贯彻习近平法治思想，坚定拥护</w:t>
      </w:r>
      <w:r>
        <w:rPr>
          <w:rFonts w:ascii="仿宋" w:hAnsi="仿宋" w:eastAsia="仿宋"/>
          <w:color w:val="000000"/>
          <w:kern w:val="0"/>
          <w:szCs w:val="32"/>
        </w:rPr>
        <w:t>“两个确立”，</w:t>
      </w:r>
      <w:r>
        <w:rPr>
          <w:rFonts w:ascii="仿宋" w:hAnsi="仿宋" w:eastAsia="仿宋"/>
          <w:szCs w:val="32"/>
        </w:rPr>
        <w:t>围绕市委“争第一，创唯一”目标，</w:t>
      </w:r>
      <w:r>
        <w:rPr>
          <w:rFonts w:ascii="仿宋" w:hAnsi="仿宋" w:eastAsia="仿宋"/>
        </w:rPr>
        <w:t>全力以赴、担当作为，</w:t>
      </w:r>
      <w:r>
        <w:rPr>
          <w:rFonts w:ascii="仿宋" w:hAnsi="仿宋" w:eastAsia="仿宋"/>
          <w:szCs w:val="32"/>
        </w:rPr>
        <w:t>立足本职、抓好办案、强化素能、提高水平，努力在唐山经济社会高质量发展新征程中贡献检察力量。</w:t>
      </w:r>
    </w:p>
    <w:p>
      <w:pPr>
        <w:pStyle w:val="10"/>
        <w:spacing w:after="0"/>
        <w:ind w:left="0" w:leftChars="0" w:firstLine="640"/>
        <w:jc w:val="left"/>
        <w:rPr>
          <w:rFonts w:ascii="仿宋" w:hAnsi="仿宋" w:eastAsia="仿宋"/>
        </w:rPr>
      </w:pPr>
      <w:r>
        <w:rPr>
          <w:rFonts w:ascii="仿宋" w:hAnsi="仿宋" w:eastAsia="仿宋"/>
        </w:rPr>
        <w:t>一是凝心聚力强党性，政治建设有新加强。把党的绝对领导作为检察机关党的建设永恒主题和检察人员终身课题，坚持政治建设与业务建设深度融合，不断健全党组工作制度，以更优检察履职厚植党的执政基础。</w:t>
      </w:r>
    </w:p>
    <w:p>
      <w:pPr>
        <w:pStyle w:val="10"/>
        <w:spacing w:after="0"/>
        <w:ind w:left="0" w:leftChars="0" w:firstLine="627" w:firstLineChars="196"/>
        <w:jc w:val="left"/>
        <w:rPr>
          <w:rFonts w:ascii="仿宋" w:hAnsi="仿宋" w:eastAsia="仿宋"/>
        </w:rPr>
      </w:pPr>
      <w:r>
        <w:rPr>
          <w:rFonts w:ascii="仿宋" w:hAnsi="仿宋" w:eastAsia="仿宋"/>
        </w:rPr>
        <w:t>二是凝心聚力护发展，服务大局有新举措。坚定不移贯彻新发展理念，主动服务“一港双城”、沿海经济带建设，</w:t>
      </w:r>
      <w:r>
        <w:rPr>
          <w:rFonts w:ascii="仿宋" w:hAnsi="仿宋" w:eastAsia="仿宋"/>
          <w:szCs w:val="32"/>
        </w:rPr>
        <w:t>助力</w:t>
      </w:r>
      <w:r>
        <w:rPr>
          <w:rFonts w:ascii="仿宋" w:hAnsi="仿宋" w:eastAsia="仿宋"/>
        </w:rPr>
        <w:t>乡村振兴、绿色发展、共建共享、改革开放、创新转型，</w:t>
      </w:r>
      <w:r>
        <w:rPr>
          <w:rFonts w:ascii="仿宋" w:hAnsi="仿宋" w:eastAsia="仿宋"/>
          <w:szCs w:val="32"/>
        </w:rPr>
        <w:t>保障市委市政府“十四五”规划顺利实施，确保检察工作与经济发展同频共振。</w:t>
      </w:r>
    </w:p>
    <w:p>
      <w:pPr>
        <w:pStyle w:val="10"/>
        <w:spacing w:after="0"/>
        <w:ind w:left="0" w:leftChars="0" w:firstLine="630" w:firstLineChars="0"/>
        <w:jc w:val="left"/>
        <w:rPr>
          <w:rFonts w:ascii="仿宋" w:hAnsi="仿宋" w:eastAsia="仿宋"/>
        </w:rPr>
      </w:pPr>
      <w:r>
        <w:rPr>
          <w:rFonts w:ascii="仿宋" w:hAnsi="仿宋" w:eastAsia="仿宋"/>
        </w:rPr>
        <w:t>三是凝心聚力保民生，为民司法有新作为。加大民生领域司法保障力度，坚决打击电信网络诈骗等新型犯罪，突出惩治教育、医疗、就业、养老、育幼、环境保护、食药安全等领域犯罪，及时回复、用心办理群众信访案件，更好回应民生诉求。</w:t>
      </w:r>
      <w:r>
        <w:rPr>
          <w:rFonts w:ascii="仿宋" w:hAnsi="仿宋" w:eastAsia="仿宋"/>
          <w:szCs w:val="32"/>
        </w:rPr>
        <w:t>以高质量的检察建议助力提升社会治理能力，</w:t>
      </w:r>
      <w:r>
        <w:rPr>
          <w:rFonts w:ascii="仿宋" w:hAnsi="仿宋" w:eastAsia="仿宋"/>
        </w:rPr>
        <w:t>为守护群众美好生活传递法治温度。</w:t>
      </w:r>
    </w:p>
    <w:p>
      <w:pPr>
        <w:pStyle w:val="10"/>
        <w:spacing w:after="0"/>
        <w:ind w:left="0" w:leftChars="0" w:firstLine="630" w:firstLineChars="0"/>
        <w:jc w:val="left"/>
        <w:rPr>
          <w:rFonts w:ascii="仿宋" w:hAnsi="仿宋" w:eastAsia="仿宋"/>
          <w:szCs w:val="32"/>
        </w:rPr>
      </w:pPr>
      <w:r>
        <w:rPr>
          <w:rFonts w:ascii="仿宋" w:hAnsi="仿宋" w:eastAsia="仿宋"/>
        </w:rPr>
        <w:t>四是凝心聚力强履职，法律监督有新担当。</w:t>
      </w:r>
      <w:r>
        <w:rPr>
          <w:rFonts w:ascii="仿宋" w:hAnsi="仿宋" w:eastAsia="仿宋"/>
          <w:szCs w:val="32"/>
        </w:rPr>
        <w:t>以落实《中共中央关于加强新时代检察机关法律监督工作的意见》和省市委贯彻措施为契机，强化严格执法、公正司法，持续推动“四大检察”协调发展，不断强化法律监督质效</w:t>
      </w:r>
      <w:r>
        <w:rPr>
          <w:rFonts w:ascii="仿宋" w:hAnsi="仿宋" w:eastAsia="仿宋"/>
        </w:rPr>
        <w:t>。</w:t>
      </w:r>
      <w:r>
        <w:rPr>
          <w:rFonts w:ascii="仿宋" w:hAnsi="仿宋" w:eastAsia="仿宋"/>
          <w:szCs w:val="32"/>
        </w:rPr>
        <w:t>秉持“双赢多赢共赢”理念，与政法各部门和有关部门形成良性互动积极工作关系，共同推动更高水平法治唐山建设。严肃查办司法工作人员渎职犯罪，不断</w:t>
      </w:r>
      <w:r>
        <w:rPr>
          <w:rFonts w:ascii="仿宋" w:hAnsi="仿宋" w:eastAsia="仿宋"/>
        </w:rPr>
        <w:t>提升法律监督刚性。</w:t>
      </w:r>
    </w:p>
    <w:p>
      <w:pPr>
        <w:pStyle w:val="10"/>
        <w:spacing w:after="0"/>
        <w:ind w:left="0" w:leftChars="0" w:firstLine="630" w:firstLineChars="0"/>
        <w:jc w:val="left"/>
        <w:rPr>
          <w:rFonts w:ascii="仿宋" w:hAnsi="仿宋" w:eastAsia="仿宋"/>
          <w:szCs w:val="32"/>
        </w:rPr>
      </w:pPr>
      <w:r>
        <w:rPr>
          <w:rFonts w:ascii="仿宋" w:hAnsi="仿宋" w:eastAsia="仿宋"/>
        </w:rPr>
        <w:t>五是凝心聚力练本领，队伍建设有新发展。</w:t>
      </w:r>
      <w:r>
        <w:rPr>
          <w:rFonts w:ascii="仿宋" w:hAnsi="仿宋" w:eastAsia="仿宋"/>
          <w:color w:val="000000"/>
          <w:szCs w:val="32"/>
        </w:rPr>
        <w:t>巩固深化队伍教育整顿成果，锤炼干净担当政治品格。加大教育培训力度，集中开展司法理念教育，抓好业务考核业绩考评，</w:t>
      </w:r>
      <w:r>
        <w:rPr>
          <w:rFonts w:ascii="仿宋" w:hAnsi="仿宋" w:eastAsia="仿宋"/>
          <w:szCs w:val="32"/>
        </w:rPr>
        <w:t xml:space="preserve">不断提升检察队伍革命化规范化专业化职业化水平。深入推进基层基础建设，抓实政治建设、业务建设、纪律作风建设、智慧检务建设，筑牢新时代检察事业发展根基。 </w:t>
      </w:r>
    </w:p>
    <w:p>
      <w:pPr>
        <w:pStyle w:val="10"/>
        <w:spacing w:after="0"/>
        <w:ind w:left="0" w:leftChars="0" w:firstLine="630" w:firstLineChars="0"/>
        <w:jc w:val="left"/>
        <w:rPr>
          <w:rFonts w:ascii="仿宋" w:hAnsi="仿宋" w:eastAsia="仿宋"/>
          <w:color w:val="000000"/>
          <w:szCs w:val="32"/>
        </w:rPr>
      </w:pPr>
      <w:r>
        <w:rPr>
          <w:rFonts w:ascii="仿宋" w:hAnsi="仿宋" w:eastAsia="仿宋"/>
          <w:szCs w:val="32"/>
        </w:rPr>
        <w:t>全市检察机关将紧紧依靠市委和省院的坚强领导，</w:t>
      </w:r>
      <w:r>
        <w:rPr>
          <w:rFonts w:ascii="仿宋" w:hAnsi="仿宋" w:eastAsia="仿宋"/>
          <w:color w:val="000000"/>
          <w:szCs w:val="32"/>
        </w:rPr>
        <w:t>立足新起点，开启新征程，开创新局面，创造新业绩，以优异成绩迎接党的二十大胜利召开！</w:t>
      </w:r>
    </w:p>
    <w:p>
      <w:pPr>
        <w:rPr>
          <w:rFonts w:ascii="仿宋" w:hAnsi="仿宋" w:eastAsia="仿宋"/>
        </w:rPr>
      </w:pPr>
    </w:p>
    <w:p>
      <w:pPr>
        <w:spacing w:line="360" w:lineRule="auto"/>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11"/>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rPr>
                <w:rFonts w:ascii="黑体" w:eastAsia="黑体"/>
                <w:b/>
              </w:rPr>
            </w:pPr>
            <w:r>
              <w:rPr>
                <w:rFonts w:ascii="宋体" w:hAnsi="宋体"/>
                <w:sz w:val="28"/>
              </w:rPr>
              <w:t>30500</w:t>
            </w:r>
            <w:r>
              <w:rPr>
                <w:rFonts w:hint="eastAsia" w:ascii="宋体" w:hAnsi="宋体"/>
                <w:sz w:val="28"/>
                <w:lang w:val="en-US" w:eastAsia="zh-CN"/>
              </w:rPr>
              <w:t>1</w:t>
            </w:r>
            <w:r>
              <w:rPr>
                <w:rFonts w:ascii="宋体" w:hAnsi="宋体"/>
                <w:sz w:val="28"/>
              </w:rPr>
              <w:t>唐山市人民检察院</w:t>
            </w:r>
          </w:p>
        </w:tc>
        <w:tc>
          <w:tcPr>
            <w:tcW w:w="3022" w:type="dxa"/>
            <w:tcBorders>
              <w:bottom w:val="single" w:color="auto" w:sz="4" w:space="0"/>
            </w:tcBorders>
            <w:shd w:val="clear" w:color="auto" w:fill="auto"/>
            <w:noWrap/>
            <w:vAlign w:val="center"/>
          </w:tcPr>
          <w:p>
            <w:pPr>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624"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Arial"/>
                <w:b/>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Arial"/>
                <w:b/>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Arial"/>
                <w:b/>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430"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rPr>
            </w:pPr>
          </w:p>
        </w:tc>
      </w:tr>
      <w:tr>
        <w:tblPrEx>
          <w:tblCellMar>
            <w:top w:w="0" w:type="dxa"/>
            <w:left w:w="108" w:type="dxa"/>
            <w:bottom w:w="0" w:type="dxa"/>
            <w:right w:w="108" w:type="dxa"/>
          </w:tblCellMar>
        </w:tblPrEx>
        <w:trPr>
          <w:cantSplit/>
          <w:trHeight w:val="453"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6258.7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6258.7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4451.55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1807.15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6258.7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3782.14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3584.55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197.59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2476.56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834.85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1641.71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bl>
    <w:p>
      <w:pPr>
        <w:spacing w:line="20" w:lineRule="exact"/>
      </w:pPr>
    </w:p>
    <w:p>
      <w:pPr>
        <w:spacing w:line="360" w:lineRule="auto"/>
        <w:rPr>
          <w:rFonts w:ascii="宋体" w:hAnsi="宋体" w:eastAsia="宋体"/>
          <w:b/>
          <w:color w:val="000000"/>
          <w:sz w:val="28"/>
        </w:rPr>
        <w:sectPr>
          <w:headerReference r:id="rId6" w:type="default"/>
          <w:pgSz w:w="11906" w:h="16838"/>
          <w:pgMar w:top="1440" w:right="1800" w:bottom="1440" w:left="180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单位人员经费支出安排表</w:t>
      </w:r>
    </w:p>
    <w:tbl>
      <w:tblPr>
        <w:tblStyle w:val="11"/>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rPr>
                <w:rFonts w:ascii="宋体" w:hAnsi="宋体" w:cs="宋体"/>
                <w:color w:val="000000"/>
                <w:sz w:val="28"/>
                <w:szCs w:val="28"/>
              </w:rPr>
            </w:pPr>
            <w:r>
              <w:rPr>
                <w:rFonts w:ascii="宋体" w:hAnsi="宋体" w:cs="宋体"/>
                <w:color w:val="000000"/>
                <w:sz w:val="28"/>
                <w:szCs w:val="28"/>
              </w:rPr>
              <w:t>30500</w:t>
            </w:r>
            <w:r>
              <w:rPr>
                <w:rFonts w:hint="eastAsia" w:ascii="宋体" w:hAnsi="宋体" w:cs="宋体"/>
                <w:color w:val="000000"/>
                <w:sz w:val="28"/>
                <w:szCs w:val="28"/>
                <w:lang w:val="en-US" w:eastAsia="zh-CN"/>
              </w:rPr>
              <w:t>1</w:t>
            </w:r>
            <w:r>
              <w:rPr>
                <w:rFonts w:ascii="宋体" w:hAnsi="宋体" w:cs="宋体"/>
                <w:color w:val="000000"/>
                <w:sz w:val="28"/>
                <w:szCs w:val="28"/>
              </w:rPr>
              <w:t>唐山市人民检察院</w:t>
            </w:r>
          </w:p>
        </w:tc>
        <w:tc>
          <w:tcPr>
            <w:tcW w:w="3115" w:type="dxa"/>
            <w:gridSpan w:val="3"/>
            <w:tcBorders>
              <w:top w:val="nil"/>
              <w:left w:val="nil"/>
              <w:bottom w:val="single" w:color="auto" w:sz="4" w:space="0"/>
              <w:right w:val="nil"/>
            </w:tcBorders>
            <w:shd w:val="clear" w:color="auto" w:fill="auto"/>
            <w:noWrap/>
            <w:vAlign w:val="bottom"/>
          </w:tcPr>
          <w:p>
            <w:pPr>
              <w:jc w:val="right"/>
              <w:rPr>
                <w:rFonts w:ascii="宋体" w:hAnsi="宋体" w:cs="宋体"/>
                <w:color w:val="000000"/>
                <w:sz w:val="28"/>
                <w:szCs w:val="28"/>
              </w:rPr>
            </w:pPr>
            <w:r>
              <w:rPr>
                <w:rFonts w:hint="eastAsia" w:ascii="宋体" w:hAnsi="宋体" w:cs="宋体"/>
                <w:color w:val="00000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 费 来 源</w:t>
            </w:r>
          </w:p>
        </w:tc>
      </w:tr>
      <w:tr>
        <w:tblPrEx>
          <w:tblCellMar>
            <w:top w:w="0" w:type="dxa"/>
            <w:left w:w="108" w:type="dxa"/>
            <w:bottom w:w="0" w:type="dxa"/>
            <w:right w:w="108" w:type="dxa"/>
          </w:tblCellMar>
        </w:tblPrEx>
        <w:trPr>
          <w:cantSplit/>
          <w:trHeight w:val="624"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高中及其以上教育收费</w:t>
            </w: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3782.14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3782.14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3584.55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3584.55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768.76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768.76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825.68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825.68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220.03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220.03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330.04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330.04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127.57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127.57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109.90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109.90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36.59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36.59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64.06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64.06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539.16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539.16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222.62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222.62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99.03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99.03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207.07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207.07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165.95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165.95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1220.94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1220.94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264.55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264.55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73.63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73.63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882.76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882.76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197.59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197.59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15.63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15.63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11.09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175.87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175.87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117.98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117.98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43.39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43.39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14.50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14.50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1.93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1.93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bl>
    <w:p/>
    <w:p>
      <w:pPr>
        <w:spacing w:line="360" w:lineRule="auto"/>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单位正常公用经费支出安排表</w:t>
      </w:r>
    </w:p>
    <w:tbl>
      <w:tblPr>
        <w:tblStyle w:val="11"/>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rPr>
                <w:rFonts w:ascii="宋体" w:hAnsi="宋体" w:cs="宋体"/>
                <w:color w:val="000000"/>
                <w:sz w:val="28"/>
                <w:szCs w:val="28"/>
              </w:rPr>
            </w:pPr>
            <w:r>
              <w:rPr>
                <w:rFonts w:ascii="宋体" w:hAnsi="宋体" w:cs="宋体"/>
                <w:color w:val="000000"/>
                <w:sz w:val="28"/>
                <w:szCs w:val="28"/>
              </w:rPr>
              <w:t>30500</w:t>
            </w:r>
            <w:r>
              <w:rPr>
                <w:rFonts w:hint="eastAsia" w:ascii="宋体" w:hAnsi="宋体" w:cs="宋体"/>
                <w:color w:val="000000"/>
                <w:sz w:val="28"/>
                <w:szCs w:val="28"/>
                <w:lang w:val="en-US" w:eastAsia="zh-CN"/>
              </w:rPr>
              <w:t>1</w:t>
            </w:r>
            <w:r>
              <w:rPr>
                <w:rFonts w:ascii="宋体" w:hAnsi="宋体" w:cs="宋体"/>
                <w:color w:val="000000"/>
                <w:sz w:val="28"/>
                <w:szCs w:val="28"/>
              </w:rPr>
              <w:t>唐山市人民检察院</w:t>
            </w:r>
          </w:p>
        </w:tc>
        <w:tc>
          <w:tcPr>
            <w:tcW w:w="3115" w:type="dxa"/>
            <w:gridSpan w:val="3"/>
            <w:tcBorders>
              <w:top w:val="nil"/>
              <w:left w:val="nil"/>
              <w:bottom w:val="single" w:color="auto" w:sz="4" w:space="0"/>
              <w:right w:val="nil"/>
            </w:tcBorders>
            <w:shd w:val="clear" w:color="auto" w:fill="auto"/>
            <w:noWrap/>
            <w:vAlign w:val="bottom"/>
          </w:tcPr>
          <w:p>
            <w:pPr>
              <w:jc w:val="right"/>
              <w:rPr>
                <w:rFonts w:ascii="宋体" w:hAnsi="宋体" w:cs="宋体"/>
                <w:color w:val="000000"/>
                <w:sz w:val="28"/>
                <w:szCs w:val="28"/>
              </w:rPr>
            </w:pPr>
            <w:r>
              <w:rPr>
                <w:rFonts w:hint="eastAsia" w:ascii="宋体" w:hAnsi="宋体" w:cs="宋体"/>
                <w:color w:val="00000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 费 来 源</w:t>
            </w:r>
          </w:p>
        </w:tc>
      </w:tr>
      <w:tr>
        <w:tblPrEx>
          <w:tblCellMar>
            <w:top w:w="0" w:type="dxa"/>
            <w:left w:w="108" w:type="dxa"/>
            <w:bottom w:w="0" w:type="dxa"/>
            <w:right w:w="108" w:type="dxa"/>
          </w:tblCellMar>
        </w:tblPrEx>
        <w:trPr>
          <w:cantSplit/>
          <w:trHeight w:val="624"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高中及其以上教育收费</w:t>
            </w: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834.85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834.85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444.88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444.88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14.84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14.84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92.03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92.03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13.79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13.79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78.24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78.24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17.67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17.67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125.54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125.54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87.43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87.43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13.19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13.19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4.79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4.79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15.83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15.83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19.22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19.22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34.40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34.40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16.31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6.68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302.54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302.54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27.00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27.00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bl>
    <w:p/>
    <w:p>
      <w:pPr>
        <w:spacing w:line="360" w:lineRule="auto"/>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11"/>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rPr>
                <w:rFonts w:ascii="宋体" w:hAnsi="宋体" w:cs="宋体"/>
                <w:color w:val="000000"/>
                <w:sz w:val="28"/>
                <w:szCs w:val="28"/>
              </w:rPr>
            </w:pPr>
            <w:r>
              <w:rPr>
                <w:rFonts w:ascii="宋体" w:hAnsi="宋体" w:cs="宋体"/>
                <w:color w:val="000000"/>
                <w:sz w:val="28"/>
                <w:szCs w:val="28"/>
              </w:rPr>
              <w:t>30500</w:t>
            </w:r>
            <w:r>
              <w:rPr>
                <w:rFonts w:hint="eastAsia" w:ascii="宋体" w:hAnsi="宋体" w:cs="宋体"/>
                <w:color w:val="000000"/>
                <w:sz w:val="28"/>
                <w:szCs w:val="28"/>
                <w:lang w:val="en-US" w:eastAsia="zh-CN"/>
              </w:rPr>
              <w:t>1</w:t>
            </w:r>
            <w:r>
              <w:rPr>
                <w:rFonts w:ascii="宋体" w:hAnsi="宋体" w:cs="宋体"/>
                <w:color w:val="000000"/>
                <w:sz w:val="28"/>
                <w:szCs w:val="28"/>
              </w:rPr>
              <w:t>唐山市人民检察院</w:t>
            </w:r>
          </w:p>
        </w:tc>
        <w:tc>
          <w:tcPr>
            <w:tcW w:w="4020" w:type="dxa"/>
            <w:gridSpan w:val="4"/>
            <w:tcBorders>
              <w:top w:val="nil"/>
              <w:left w:val="nil"/>
              <w:bottom w:val="single" w:color="auto" w:sz="4" w:space="0"/>
              <w:right w:val="nil"/>
            </w:tcBorders>
            <w:shd w:val="clear" w:color="auto" w:fill="auto"/>
            <w:noWrap/>
            <w:vAlign w:val="bottom"/>
          </w:tcPr>
          <w:p>
            <w:pPr>
              <w:jc w:val="right"/>
              <w:rPr>
                <w:rFonts w:ascii="宋体" w:hAnsi="宋体" w:cs="宋体"/>
                <w:color w:val="000000"/>
                <w:sz w:val="28"/>
                <w:szCs w:val="28"/>
              </w:rPr>
            </w:pPr>
            <w:r>
              <w:rPr>
                <w:rFonts w:hint="eastAsia" w:ascii="宋体" w:hAnsi="宋体" w:cs="宋体"/>
                <w:color w:val="00000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Arial"/>
                <w:b/>
                <w:bCs/>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经费来源</w:t>
            </w:r>
          </w:p>
        </w:tc>
      </w:tr>
      <w:tr>
        <w:tblPrEx>
          <w:tblCellMar>
            <w:top w:w="0" w:type="dxa"/>
            <w:left w:w="108" w:type="dxa"/>
            <w:bottom w:w="0" w:type="dxa"/>
            <w:right w:w="108" w:type="dxa"/>
          </w:tblCellMar>
        </w:tblPrEx>
        <w:trPr>
          <w:cantSplit/>
          <w:trHeight w:val="624"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高中及其以上教育收费</w:t>
            </w:r>
          </w:p>
        </w:tc>
      </w:tr>
      <w:tr>
        <w:tblPrEx>
          <w:tblCellMar>
            <w:top w:w="0" w:type="dxa"/>
            <w:left w:w="108" w:type="dxa"/>
            <w:bottom w:w="0" w:type="dxa"/>
            <w:right w:w="108" w:type="dxa"/>
          </w:tblCellMar>
        </w:tblPrEx>
        <w:trPr>
          <w:cantSplit/>
          <w:trHeight w:val="485"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485"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116.79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116.79</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112.00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112.00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4.79</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二、会议费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19.90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19.90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26.49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26.49</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163.18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163.18</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bl>
    <w:p>
      <w:pPr>
        <w:spacing w:line="20" w:lineRule="exact"/>
      </w:pPr>
    </w:p>
    <w:p>
      <w:pPr>
        <w:spacing w:line="20" w:lineRule="exact"/>
      </w:pPr>
    </w:p>
    <w:p>
      <w:pPr>
        <w:spacing w:line="20" w:lineRule="exact"/>
      </w:pPr>
    </w:p>
    <w:p>
      <w:pPr>
        <w:spacing w:line="20" w:lineRule="exact"/>
      </w:pPr>
    </w:p>
    <w:p>
      <w:pPr>
        <w:spacing w:line="360" w:lineRule="auto"/>
        <w:rPr>
          <w:rFonts w:ascii="宋体" w:hAnsi="宋体" w:eastAsia="宋体"/>
          <w:b/>
          <w:color w:val="000000"/>
          <w:sz w:val="28"/>
        </w:rPr>
        <w:sectPr>
          <w:headerReference r:id="rId7" w:type="default"/>
          <w:pgSz w:w="16838" w:h="11906" w:orient="landscape"/>
          <w:pgMar w:top="1800" w:right="1440" w:bottom="1800" w:left="1440" w:header="851" w:footer="992" w:gutter="0"/>
          <w:cols w:space="425" w:num="1"/>
          <w:docGrid w:type="lines" w:linePitch="312" w:charSpace="0"/>
        </w:sectPr>
      </w:pPr>
    </w:p>
    <w:p>
      <w:pPr>
        <w:ind w:firstLine="5146" w:firstLineChars="1602"/>
        <w:rPr>
          <w:rFonts w:ascii="黑体" w:eastAsia="黑体"/>
          <w:b/>
          <w:sz w:val="32"/>
          <w:szCs w:val="32"/>
        </w:rPr>
      </w:pPr>
      <w:r>
        <w:rPr>
          <w:rFonts w:hint="eastAsia" w:ascii="黑体" w:eastAsia="黑体"/>
          <w:b/>
          <w:sz w:val="32"/>
          <w:szCs w:val="32"/>
        </w:rPr>
        <w:t>单位专项公用经费支出安排表</w:t>
      </w:r>
    </w:p>
    <w:tbl>
      <w:tblPr>
        <w:tblStyle w:val="11"/>
        <w:tblW w:w="14139" w:type="dxa"/>
        <w:tblInd w:w="93" w:type="dxa"/>
        <w:tblLayout w:type="autofit"/>
        <w:tblCellMar>
          <w:top w:w="0" w:type="dxa"/>
          <w:left w:w="108" w:type="dxa"/>
          <w:bottom w:w="0" w:type="dxa"/>
          <w:right w:w="108" w:type="dxa"/>
        </w:tblCellMar>
      </w:tblPr>
      <w:tblGrid>
        <w:gridCol w:w="1767"/>
        <w:gridCol w:w="1767"/>
        <w:gridCol w:w="1767"/>
        <w:gridCol w:w="1767"/>
        <w:gridCol w:w="1767"/>
        <w:gridCol w:w="1769"/>
        <w:gridCol w:w="1767"/>
        <w:gridCol w:w="1768"/>
      </w:tblGrid>
      <w:tr>
        <w:tblPrEx>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shd w:val="clear" w:color="auto" w:fill="auto"/>
            <w:noWrap/>
            <w:vAlign w:val="bottom"/>
          </w:tcPr>
          <w:p>
            <w:pPr>
              <w:rPr>
                <w:rFonts w:ascii="宋体" w:hAnsi="宋体" w:cs="宋体"/>
                <w:color w:val="000000"/>
                <w:sz w:val="28"/>
                <w:szCs w:val="28"/>
              </w:rPr>
            </w:pPr>
            <w:r>
              <w:rPr>
                <w:rFonts w:ascii="宋体" w:hAnsi="宋体" w:cs="宋体"/>
                <w:color w:val="000000"/>
                <w:sz w:val="28"/>
                <w:szCs w:val="28"/>
              </w:rPr>
              <w:t>30500</w:t>
            </w:r>
            <w:r>
              <w:rPr>
                <w:rFonts w:hint="eastAsia" w:ascii="宋体" w:hAnsi="宋体" w:cs="宋体"/>
                <w:color w:val="000000"/>
                <w:sz w:val="28"/>
                <w:szCs w:val="28"/>
                <w:lang w:val="en-US" w:eastAsia="zh-CN"/>
              </w:rPr>
              <w:t>1</w:t>
            </w:r>
            <w:r>
              <w:rPr>
                <w:rFonts w:ascii="宋体" w:hAnsi="宋体" w:cs="宋体"/>
                <w:color w:val="000000"/>
                <w:sz w:val="28"/>
                <w:szCs w:val="28"/>
              </w:rPr>
              <w:t>唐山市人民检察院</w:t>
            </w:r>
          </w:p>
        </w:tc>
        <w:tc>
          <w:tcPr>
            <w:tcW w:w="3535" w:type="dxa"/>
            <w:gridSpan w:val="2"/>
            <w:tcBorders>
              <w:top w:val="nil"/>
              <w:left w:val="nil"/>
              <w:bottom w:val="single" w:color="auto" w:sz="4" w:space="0"/>
              <w:right w:val="nil"/>
            </w:tcBorders>
            <w:shd w:val="clear" w:color="auto" w:fill="auto"/>
            <w:noWrap/>
            <w:vAlign w:val="bottom"/>
          </w:tcPr>
          <w:p>
            <w:pPr>
              <w:jc w:val="right"/>
              <w:rPr>
                <w:rFonts w:ascii="宋体" w:hAnsi="宋体" w:cs="宋体"/>
                <w:color w:val="000000"/>
                <w:sz w:val="28"/>
                <w:szCs w:val="28"/>
              </w:rPr>
            </w:pPr>
            <w:r>
              <w:rPr>
                <w:rFonts w:hint="eastAsia" w:ascii="宋体" w:hAnsi="宋体" w:cs="宋体"/>
                <w:color w:val="000000"/>
                <w:sz w:val="28"/>
                <w:szCs w:val="28"/>
              </w:rPr>
              <w:t>单位：万元</w:t>
            </w:r>
          </w:p>
        </w:tc>
      </w:tr>
      <w:tr>
        <w:tblPrEx>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经 费 来 源</w:t>
            </w:r>
          </w:p>
        </w:tc>
      </w:tr>
      <w:tr>
        <w:tblPrEx>
          <w:tblCellMar>
            <w:top w:w="0" w:type="dxa"/>
            <w:left w:w="108" w:type="dxa"/>
            <w:bottom w:w="0" w:type="dxa"/>
            <w:right w:w="108" w:type="dxa"/>
          </w:tblCellMar>
        </w:tblPrEx>
        <w:trPr>
          <w:cantSplit/>
          <w:trHeight w:val="485"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高中及其以上教育收费</w:t>
            </w:r>
          </w:p>
        </w:tc>
      </w:tr>
      <w:tr>
        <w:tblPrEx>
          <w:tblCellMar>
            <w:top w:w="0" w:type="dxa"/>
            <w:left w:w="108" w:type="dxa"/>
            <w:bottom w:w="0" w:type="dxa"/>
            <w:right w:w="108" w:type="dxa"/>
          </w:tblCellMar>
        </w:tblPrEx>
        <w:trPr>
          <w:cantSplit/>
          <w:trHeight w:val="485"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485" w:hRule="atLeast"/>
          <w:tblHeader/>
        </w:trPr>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专项公用经费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1641.71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1641.71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信息化设备购置费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102.59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102.59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唐山市未成年人保护社会支持体系建设基地暨未检办案工作区</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档案办公自动化系统</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检察院机关大楼设备维护费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业务会议费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19.90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19.90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2050803</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业务培训费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13.30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13.30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市检察院信息化设施运行费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151.80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151.80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防疫办人脸测温仪网络使用费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检察宣传费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49.00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49.00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印刷费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物业管理费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133.68</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133.68</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劳务派遣人员经费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326.54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326.54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专家咨询服务费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办公、办案耗材购置费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专家审计费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办公楼</w:t>
            </w:r>
            <w:r>
              <w:rPr>
                <w:rFonts w:ascii="宋体" w:hAnsi="宋体" w:cs="宋体"/>
                <w:color w:val="000000"/>
              </w:rPr>
              <w:t xml:space="preserve"> 饮水设备耗材更新经费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人民监督员活动经费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公益诉讼活动经费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办案差旅费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办案交通费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控告申诉部门接访费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机要费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强化法律监督费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276.00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276.00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技术鉴定费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刑事和解工作经费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检察报刊书籍订购费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聘请翻译及专家经费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出版费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扫黑除恶专项经费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援疆经费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档案数字化</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智能库房维护费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12.40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12.40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未成年人检察工作社会支持体系建设工作</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垃圾清运费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bl>
    <w:p/>
    <w:p>
      <w:pPr>
        <w:spacing w:line="360" w:lineRule="auto"/>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1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rPr>
                <w:rFonts w:ascii="黑体" w:eastAsia="黑体"/>
                <w:b/>
              </w:rPr>
            </w:pPr>
            <w:r>
              <w:rPr>
                <w:rFonts w:ascii="宋体" w:hAnsi="宋体"/>
                <w:sz w:val="28"/>
              </w:rPr>
              <w:t>30500</w:t>
            </w:r>
            <w:r>
              <w:rPr>
                <w:rFonts w:hint="eastAsia" w:ascii="宋体" w:hAnsi="宋体"/>
                <w:sz w:val="28"/>
                <w:lang w:val="en-US" w:eastAsia="zh-CN"/>
              </w:rPr>
              <w:t>1</w:t>
            </w:r>
            <w:r>
              <w:rPr>
                <w:rFonts w:ascii="宋体" w:hAnsi="宋体"/>
                <w:sz w:val="28"/>
              </w:rPr>
              <w:t>唐山市人民检察院</w:t>
            </w:r>
          </w:p>
        </w:tc>
        <w:tc>
          <w:tcPr>
            <w:tcW w:w="1643" w:type="dxa"/>
            <w:gridSpan w:val="2"/>
            <w:tcBorders>
              <w:top w:val="nil"/>
              <w:left w:val="nil"/>
              <w:right w:val="nil"/>
            </w:tcBorders>
            <w:shd w:val="clear" w:color="auto" w:fill="auto"/>
            <w:noWrap/>
            <w:vAlign w:val="center"/>
          </w:tcPr>
          <w:p>
            <w:pPr>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624"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624"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485"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副厅级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180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156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156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147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171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167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41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41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p>
        </w:tc>
      </w:tr>
    </w:tbl>
    <w:p/>
    <w:p>
      <w:pPr>
        <w:spacing w:line="360" w:lineRule="auto"/>
        <w:rPr>
          <w:rFonts w:ascii="宋体" w:hAnsi="宋体" w:eastAsia="宋体"/>
          <w:b/>
          <w:color w:val="000000"/>
          <w:sz w:val="28"/>
        </w:rPr>
        <w:sectPr>
          <w:headerReference r:id="rId8"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11"/>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rPr>
                <w:rFonts w:ascii="黑体" w:hAnsi="黑体" w:eastAsia="黑体" w:cs="宋体"/>
                <w:b/>
                <w:bCs/>
                <w:color w:val="000000"/>
                <w:szCs w:val="21"/>
              </w:rPr>
            </w:pPr>
            <w:r>
              <w:rPr>
                <w:rFonts w:ascii="宋体" w:hAnsi="宋体"/>
                <w:sz w:val="28"/>
              </w:rPr>
              <w:t>30500</w:t>
            </w:r>
            <w:r>
              <w:rPr>
                <w:rFonts w:hint="eastAsia" w:ascii="宋体" w:hAnsi="宋体"/>
                <w:sz w:val="28"/>
                <w:lang w:val="en-US" w:eastAsia="zh-CN"/>
              </w:rPr>
              <w:t>1</w:t>
            </w:r>
            <w:r>
              <w:rPr>
                <w:rFonts w:ascii="宋体" w:hAnsi="宋体"/>
                <w:sz w:val="28"/>
              </w:rPr>
              <w:t>唐山市人民检察院</w:t>
            </w:r>
          </w:p>
        </w:tc>
      </w:tr>
      <w:tr>
        <w:tblPrEx>
          <w:tblCellMar>
            <w:top w:w="0" w:type="dxa"/>
            <w:left w:w="108" w:type="dxa"/>
            <w:bottom w:w="0" w:type="dxa"/>
            <w:right w:w="108" w:type="dxa"/>
          </w:tblCellMar>
        </w:tblPrEx>
        <w:trPr>
          <w:cantSplit/>
          <w:trHeight w:val="624"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备  注</w:t>
            </w:r>
          </w:p>
        </w:tc>
      </w:tr>
      <w:tr>
        <w:tblPrEx>
          <w:tblCellMar>
            <w:top w:w="0" w:type="dxa"/>
            <w:left w:w="108" w:type="dxa"/>
            <w:bottom w:w="0" w:type="dxa"/>
            <w:right w:w="108" w:type="dxa"/>
          </w:tblCellMar>
        </w:tblPrEx>
        <w:trPr>
          <w:cantSplit/>
          <w:trHeight w:val="624"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r>
      <w:tr>
        <w:tblPrEx>
          <w:tblCellMar>
            <w:top w:w="0" w:type="dxa"/>
            <w:left w:w="108" w:type="dxa"/>
            <w:bottom w:w="0" w:type="dxa"/>
            <w:right w:w="108" w:type="dxa"/>
          </w:tblCellMar>
        </w:tblPrEx>
        <w:trPr>
          <w:cantSplit/>
          <w:trHeight w:val="485"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行政机关</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156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156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109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171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41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41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29309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bl>
    <w:p/>
    <w:p>
      <w:pPr>
        <w:spacing w:line="360" w:lineRule="auto"/>
        <w:rPr>
          <w:rFonts w:ascii="宋体" w:hAnsi="宋体" w:eastAsia="宋体"/>
          <w:b/>
          <w:color w:val="000000"/>
          <w:sz w:val="28"/>
        </w:rPr>
        <w:sectPr>
          <w:headerReference r:id="rId9"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唐山市人民检察院收支预算说明</w:t>
      </w:r>
    </w:p>
    <w:p>
      <w:pPr>
        <w:spacing w:line="480" w:lineRule="auto"/>
        <w:rPr>
          <w:rFonts w:ascii="宋体" w:hAnsi="宋体" w:eastAsia="宋体"/>
          <w:b/>
          <w:color w:val="000000"/>
          <w:sz w:val="28"/>
        </w:rPr>
      </w:pPr>
      <w:r>
        <w:rPr>
          <w:rFonts w:ascii="宋体" w:hAnsi="宋体" w:eastAsia="宋体"/>
          <w:b/>
          <w:color w:val="000000"/>
          <w:sz w:val="28"/>
        </w:rPr>
        <w:t>一、收入预算说明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80" w:firstLineChars="200"/>
        <w:rPr>
          <w:rFonts w:ascii="宋体" w:hAnsi="宋体"/>
          <w:sz w:val="24"/>
          <w:szCs w:val="24"/>
        </w:rPr>
      </w:pPr>
      <w:r>
        <w:rPr>
          <w:rFonts w:ascii="宋体" w:hAnsi="宋体"/>
          <w:sz w:val="24"/>
          <w:szCs w:val="24"/>
        </w:rPr>
        <w:t>20</w:t>
      </w:r>
      <w:r>
        <w:rPr>
          <w:rFonts w:hint="eastAsia" w:ascii="宋体" w:hAnsi="宋体"/>
          <w:sz w:val="24"/>
          <w:szCs w:val="24"/>
        </w:rPr>
        <w:t>22</w:t>
      </w:r>
      <w:r>
        <w:rPr>
          <w:rFonts w:hint="eastAsia" w:ascii="宋体" w:hAnsi="宋体" w:cs="宋体"/>
          <w:sz w:val="24"/>
          <w:szCs w:val="24"/>
        </w:rPr>
        <w:t>年，唐山市人民检察院共安排非税收入项目</w:t>
      </w:r>
      <w:r>
        <w:rPr>
          <w:rFonts w:hint="eastAsia" w:ascii="宋体" w:hAnsi="宋体"/>
          <w:sz w:val="24"/>
          <w:szCs w:val="24"/>
        </w:rPr>
        <w:t>2</w:t>
      </w:r>
      <w:r>
        <w:rPr>
          <w:rFonts w:hint="eastAsia" w:ascii="宋体" w:hAnsi="宋体" w:cs="宋体"/>
          <w:sz w:val="24"/>
          <w:szCs w:val="24"/>
        </w:rPr>
        <w:t>个，合计收入</w:t>
      </w:r>
      <w:r>
        <w:rPr>
          <w:rFonts w:hint="eastAsia" w:ascii="宋体" w:hAnsi="宋体"/>
          <w:sz w:val="24"/>
          <w:szCs w:val="24"/>
        </w:rPr>
        <w:t>3020</w:t>
      </w:r>
      <w:r>
        <w:rPr>
          <w:rFonts w:hint="eastAsia" w:ascii="宋体" w:hAnsi="宋体" w:cs="宋体"/>
          <w:sz w:val="24"/>
          <w:szCs w:val="24"/>
        </w:rPr>
        <w:t>万元，其中，列入单位预算</w:t>
      </w:r>
      <w:r>
        <w:rPr>
          <w:rFonts w:hint="eastAsia" w:ascii="宋体" w:hAnsi="宋体"/>
          <w:sz w:val="24"/>
          <w:szCs w:val="24"/>
        </w:rPr>
        <w:t>3020</w:t>
      </w:r>
      <w:r>
        <w:rPr>
          <w:rFonts w:hint="eastAsia" w:ascii="宋体" w:hAnsi="宋体" w:cs="宋体"/>
          <w:sz w:val="24"/>
          <w:szCs w:val="24"/>
        </w:rPr>
        <w:t>万元。具体安排如下表所示。</w:t>
      </w:r>
    </w:p>
    <w:tbl>
      <w:tblPr>
        <w:tblStyle w:val="11"/>
        <w:tblW w:w="8820" w:type="dxa"/>
        <w:tblInd w:w="93" w:type="dxa"/>
        <w:tblLayout w:type="autofit"/>
        <w:tblCellMar>
          <w:top w:w="0" w:type="dxa"/>
          <w:left w:w="108" w:type="dxa"/>
          <w:bottom w:w="0" w:type="dxa"/>
          <w:right w:w="108" w:type="dxa"/>
        </w:tblCellMar>
      </w:tblPr>
      <w:tblGrid>
        <w:gridCol w:w="2715"/>
        <w:gridCol w:w="1285"/>
        <w:gridCol w:w="1060"/>
        <w:gridCol w:w="1240"/>
        <w:gridCol w:w="1040"/>
        <w:gridCol w:w="1480"/>
      </w:tblGrid>
      <w:tr>
        <w:tblPrEx>
          <w:tblCellMar>
            <w:top w:w="0" w:type="dxa"/>
            <w:left w:w="108" w:type="dxa"/>
            <w:bottom w:w="0" w:type="dxa"/>
            <w:right w:w="108" w:type="dxa"/>
          </w:tblCellMar>
        </w:tblPrEx>
        <w:trPr>
          <w:trHeight w:val="270" w:hRule="atLeast"/>
        </w:trPr>
        <w:tc>
          <w:tcPr>
            <w:tcW w:w="8820" w:type="dxa"/>
            <w:gridSpan w:val="6"/>
            <w:tcBorders>
              <w:top w:val="nil"/>
              <w:left w:val="nil"/>
              <w:bottom w:val="nil"/>
              <w:right w:val="nil"/>
            </w:tcBorders>
            <w:shd w:val="clear" w:color="auto" w:fill="auto"/>
            <w:noWrap/>
            <w:vAlign w:val="bottom"/>
          </w:tcPr>
          <w:p>
            <w:pPr>
              <w:spacing w:line="360" w:lineRule="auto"/>
              <w:jc w:val="center"/>
              <w:rPr>
                <w:rFonts w:ascii="宋体" w:hAnsi="宋体" w:cs="Arial"/>
                <w:sz w:val="24"/>
                <w:szCs w:val="24"/>
              </w:rPr>
            </w:pPr>
            <w:r>
              <w:rPr>
                <w:rFonts w:hint="eastAsia" w:ascii="宋体" w:hAnsi="宋体" w:cs="Arial"/>
                <w:sz w:val="24"/>
                <w:szCs w:val="24"/>
              </w:rPr>
              <w:t>唐山市行政事业单位政府非税收入预算建议计划表</w:t>
            </w:r>
          </w:p>
        </w:tc>
      </w:tr>
      <w:tr>
        <w:tblPrEx>
          <w:tblCellMar>
            <w:top w:w="0" w:type="dxa"/>
            <w:left w:w="108" w:type="dxa"/>
            <w:bottom w:w="0" w:type="dxa"/>
            <w:right w:w="108" w:type="dxa"/>
          </w:tblCellMar>
        </w:tblPrEx>
        <w:trPr>
          <w:trHeight w:val="735" w:hRule="atLeast"/>
        </w:trPr>
        <w:tc>
          <w:tcPr>
            <w:tcW w:w="2715"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r>
              <w:rPr>
                <w:rFonts w:hint="eastAsia" w:ascii="宋体" w:hAnsi="宋体" w:cs="Arial"/>
                <w:sz w:val="24"/>
                <w:szCs w:val="24"/>
              </w:rPr>
              <w:t>30500</w:t>
            </w:r>
            <w:r>
              <w:rPr>
                <w:rFonts w:hint="eastAsia" w:ascii="宋体" w:hAnsi="宋体" w:cs="Arial"/>
                <w:sz w:val="24"/>
                <w:szCs w:val="24"/>
                <w:lang w:val="en-US" w:eastAsia="zh-CN"/>
              </w:rPr>
              <w:t>1</w:t>
            </w:r>
            <w:r>
              <w:rPr>
                <w:rFonts w:hint="eastAsia" w:ascii="宋体" w:hAnsi="宋体" w:cs="Arial"/>
                <w:sz w:val="24"/>
                <w:szCs w:val="24"/>
              </w:rPr>
              <w:t>唐山市人民检察院</w:t>
            </w:r>
          </w:p>
        </w:tc>
        <w:tc>
          <w:tcPr>
            <w:tcW w:w="1285"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p>
        </w:tc>
        <w:tc>
          <w:tcPr>
            <w:tcW w:w="1060"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p>
        </w:tc>
        <w:tc>
          <w:tcPr>
            <w:tcW w:w="1240"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p>
        </w:tc>
        <w:tc>
          <w:tcPr>
            <w:tcW w:w="1040"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p>
        </w:tc>
        <w:tc>
          <w:tcPr>
            <w:tcW w:w="1480"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r>
              <w:rPr>
                <w:rFonts w:hint="eastAsia" w:ascii="宋体" w:hAnsi="宋体" w:cs="Arial"/>
                <w:sz w:val="24"/>
                <w:szCs w:val="24"/>
              </w:rPr>
              <w:t>单位：万元</w:t>
            </w:r>
          </w:p>
        </w:tc>
      </w:tr>
      <w:tr>
        <w:tblPrEx>
          <w:tblCellMar>
            <w:top w:w="0" w:type="dxa"/>
            <w:left w:w="108" w:type="dxa"/>
            <w:bottom w:w="0" w:type="dxa"/>
            <w:right w:w="108" w:type="dxa"/>
          </w:tblCellMar>
        </w:tblPrEx>
        <w:trPr>
          <w:trHeight w:val="270" w:hRule="atLeast"/>
        </w:trPr>
        <w:tc>
          <w:tcPr>
            <w:tcW w:w="271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收入科目</w:t>
            </w:r>
          </w:p>
        </w:tc>
        <w:tc>
          <w:tcPr>
            <w:tcW w:w="128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收入科目名称</w:t>
            </w:r>
          </w:p>
        </w:tc>
        <w:tc>
          <w:tcPr>
            <w:tcW w:w="106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收入总计</w:t>
            </w:r>
          </w:p>
        </w:tc>
        <w:tc>
          <w:tcPr>
            <w:tcW w:w="3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纳入公共财政预算管理的非税收入</w:t>
            </w:r>
          </w:p>
        </w:tc>
      </w:tr>
      <w:tr>
        <w:tblPrEx>
          <w:tblCellMar>
            <w:top w:w="0" w:type="dxa"/>
            <w:left w:w="108" w:type="dxa"/>
            <w:bottom w:w="0" w:type="dxa"/>
            <w:right w:w="108" w:type="dxa"/>
          </w:tblCellMar>
        </w:tblPrEx>
        <w:trPr>
          <w:trHeight w:val="624" w:hRule="atLeast"/>
        </w:trPr>
        <w:tc>
          <w:tcPr>
            <w:tcW w:w="271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28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060" w:type="dxa"/>
            <w:vMerge w:val="continue"/>
            <w:tcBorders>
              <w:top w:val="single" w:color="auto" w:sz="8" w:space="0"/>
              <w:left w:val="single" w:color="auto" w:sz="8" w:space="0"/>
              <w:bottom w:val="single" w:color="000000" w:sz="8" w:space="0"/>
              <w:right w:val="single" w:color="000000" w:sz="8" w:space="0"/>
            </w:tcBorders>
            <w:vAlign w:val="center"/>
          </w:tcPr>
          <w:p>
            <w:pPr>
              <w:rPr>
                <w:rFonts w:ascii="宋体" w:hAnsi="宋体" w:cs="Arial"/>
                <w:sz w:val="24"/>
                <w:szCs w:val="24"/>
              </w:rPr>
            </w:pPr>
          </w:p>
        </w:tc>
        <w:tc>
          <w:tcPr>
            <w:tcW w:w="124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合计</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国有资产（资源）有偿使用收入</w:t>
            </w:r>
          </w:p>
        </w:tc>
        <w:tc>
          <w:tcPr>
            <w:tcW w:w="148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罚没收入</w:t>
            </w:r>
          </w:p>
        </w:tc>
      </w:tr>
      <w:tr>
        <w:tblPrEx>
          <w:tblCellMar>
            <w:top w:w="0" w:type="dxa"/>
            <w:left w:w="108" w:type="dxa"/>
            <w:bottom w:w="0" w:type="dxa"/>
            <w:right w:w="108" w:type="dxa"/>
          </w:tblCellMar>
        </w:tblPrEx>
        <w:trPr>
          <w:trHeight w:val="624" w:hRule="atLeast"/>
        </w:trPr>
        <w:tc>
          <w:tcPr>
            <w:tcW w:w="271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28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060" w:type="dxa"/>
            <w:vMerge w:val="continue"/>
            <w:tcBorders>
              <w:top w:val="single" w:color="auto" w:sz="8" w:space="0"/>
              <w:left w:val="single" w:color="auto" w:sz="8" w:space="0"/>
              <w:bottom w:val="single" w:color="000000" w:sz="8" w:space="0"/>
              <w:right w:val="single" w:color="000000" w:sz="8" w:space="0"/>
            </w:tcBorders>
            <w:vAlign w:val="center"/>
          </w:tcPr>
          <w:p>
            <w:pPr>
              <w:rPr>
                <w:rFonts w:ascii="宋体" w:hAnsi="宋体" w:cs="Arial"/>
                <w:sz w:val="24"/>
                <w:szCs w:val="24"/>
              </w:rPr>
            </w:pPr>
          </w:p>
        </w:tc>
        <w:tc>
          <w:tcPr>
            <w:tcW w:w="1240" w:type="dxa"/>
            <w:vMerge w:val="continue"/>
            <w:tcBorders>
              <w:top w:val="nil"/>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040" w:type="dxa"/>
            <w:vMerge w:val="continue"/>
            <w:tcBorders>
              <w:top w:val="nil"/>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480" w:type="dxa"/>
            <w:vMerge w:val="continue"/>
            <w:tcBorders>
              <w:top w:val="nil"/>
              <w:left w:val="single" w:color="auto" w:sz="8" w:space="0"/>
              <w:bottom w:val="single" w:color="000000" w:sz="8" w:space="0"/>
              <w:right w:val="single" w:color="auto" w:sz="8" w:space="0"/>
            </w:tcBorders>
            <w:vAlign w:val="center"/>
          </w:tcPr>
          <w:p>
            <w:pPr>
              <w:rPr>
                <w:rFonts w:ascii="宋体" w:hAnsi="宋体" w:cs="Arial"/>
                <w:sz w:val="24"/>
                <w:szCs w:val="24"/>
              </w:rPr>
            </w:pPr>
          </w:p>
        </w:tc>
      </w:tr>
      <w:tr>
        <w:tblPrEx>
          <w:tblCellMar>
            <w:top w:w="0" w:type="dxa"/>
            <w:left w:w="108" w:type="dxa"/>
            <w:bottom w:w="0" w:type="dxa"/>
            <w:right w:w="108" w:type="dxa"/>
          </w:tblCellMar>
        </w:tblPrEx>
        <w:trPr>
          <w:trHeight w:val="930" w:hRule="atLeast"/>
        </w:trPr>
        <w:tc>
          <w:tcPr>
            <w:tcW w:w="271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103050102</w:t>
            </w:r>
          </w:p>
        </w:tc>
        <w:tc>
          <w:tcPr>
            <w:tcW w:w="1285"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检察院罚没收入（唐山市院）</w:t>
            </w:r>
          </w:p>
        </w:tc>
        <w:tc>
          <w:tcPr>
            <w:tcW w:w="106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sz w:val="24"/>
                <w:szCs w:val="24"/>
              </w:rPr>
              <w:t>3000.00</w:t>
            </w:r>
          </w:p>
        </w:tc>
        <w:tc>
          <w:tcPr>
            <w:tcW w:w="124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sz w:val="24"/>
                <w:szCs w:val="24"/>
              </w:rPr>
              <w:t>3000.00</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　</w:t>
            </w:r>
          </w:p>
        </w:tc>
        <w:tc>
          <w:tcPr>
            <w:tcW w:w="1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sz w:val="24"/>
                <w:szCs w:val="24"/>
              </w:rPr>
              <w:t>3000.00</w:t>
            </w:r>
          </w:p>
        </w:tc>
      </w:tr>
      <w:tr>
        <w:tblPrEx>
          <w:tblCellMar>
            <w:top w:w="0" w:type="dxa"/>
            <w:left w:w="108" w:type="dxa"/>
            <w:bottom w:w="0" w:type="dxa"/>
            <w:right w:w="108" w:type="dxa"/>
          </w:tblCellMar>
        </w:tblPrEx>
        <w:trPr>
          <w:trHeight w:val="930" w:hRule="atLeast"/>
        </w:trPr>
        <w:tc>
          <w:tcPr>
            <w:tcW w:w="271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103070599</w:t>
            </w:r>
          </w:p>
        </w:tc>
        <w:tc>
          <w:tcPr>
            <w:tcW w:w="1285"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其他利息收入</w:t>
            </w:r>
          </w:p>
        </w:tc>
        <w:tc>
          <w:tcPr>
            <w:tcW w:w="106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20</w:t>
            </w:r>
          </w:p>
        </w:tc>
        <w:tc>
          <w:tcPr>
            <w:tcW w:w="124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20</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20</w:t>
            </w:r>
          </w:p>
        </w:tc>
        <w:tc>
          <w:tcPr>
            <w:tcW w:w="1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　</w:t>
            </w:r>
          </w:p>
        </w:tc>
      </w:tr>
      <w:tr>
        <w:tblPrEx>
          <w:tblCellMar>
            <w:top w:w="0" w:type="dxa"/>
            <w:left w:w="108" w:type="dxa"/>
            <w:bottom w:w="0" w:type="dxa"/>
            <w:right w:w="108" w:type="dxa"/>
          </w:tblCellMar>
        </w:tblPrEx>
        <w:trPr>
          <w:trHeight w:val="561" w:hRule="atLeast"/>
        </w:trPr>
        <w:tc>
          <w:tcPr>
            <w:tcW w:w="4000" w:type="dxa"/>
            <w:gridSpan w:val="2"/>
            <w:tcBorders>
              <w:top w:val="single" w:color="auto" w:sz="8" w:space="0"/>
              <w:left w:val="single" w:color="auto" w:sz="8" w:space="0"/>
              <w:bottom w:val="single" w:color="auto" w:sz="8" w:space="0"/>
              <w:right w:val="single" w:color="000000" w:sz="8" w:space="0"/>
            </w:tcBorders>
            <w:shd w:val="clear" w:color="auto" w:fill="auto"/>
            <w:vAlign w:val="bottom"/>
          </w:tcPr>
          <w:p>
            <w:pPr>
              <w:jc w:val="center"/>
              <w:rPr>
                <w:rFonts w:ascii="宋体" w:hAnsi="宋体" w:cs="Arial"/>
                <w:sz w:val="24"/>
                <w:szCs w:val="24"/>
              </w:rPr>
            </w:pPr>
            <w:r>
              <w:rPr>
                <w:rFonts w:hint="eastAsia" w:ascii="宋体" w:hAnsi="宋体" w:cs="Arial"/>
                <w:sz w:val="24"/>
                <w:szCs w:val="24"/>
              </w:rPr>
              <w:t>合  计</w:t>
            </w:r>
          </w:p>
        </w:tc>
        <w:tc>
          <w:tcPr>
            <w:tcW w:w="1060" w:type="dxa"/>
            <w:tcBorders>
              <w:top w:val="nil"/>
              <w:left w:val="nil"/>
              <w:bottom w:val="single" w:color="auto" w:sz="8" w:space="0"/>
              <w:right w:val="single" w:color="auto" w:sz="8" w:space="0"/>
            </w:tcBorders>
            <w:shd w:val="clear" w:color="auto" w:fill="auto"/>
            <w:vAlign w:val="bottom"/>
          </w:tcPr>
          <w:p>
            <w:pPr>
              <w:jc w:val="center"/>
              <w:rPr>
                <w:rFonts w:ascii="宋体" w:hAnsi="宋体" w:cs="Arial"/>
                <w:sz w:val="24"/>
                <w:szCs w:val="24"/>
              </w:rPr>
            </w:pPr>
            <w:r>
              <w:rPr>
                <w:rFonts w:hint="eastAsia" w:ascii="宋体" w:hAnsi="宋体"/>
                <w:sz w:val="24"/>
                <w:szCs w:val="24"/>
              </w:rPr>
              <w:t>3020.00</w:t>
            </w:r>
          </w:p>
        </w:tc>
        <w:tc>
          <w:tcPr>
            <w:tcW w:w="1240" w:type="dxa"/>
            <w:tcBorders>
              <w:top w:val="nil"/>
              <w:left w:val="nil"/>
              <w:bottom w:val="single" w:color="auto" w:sz="8" w:space="0"/>
              <w:right w:val="single" w:color="auto" w:sz="8" w:space="0"/>
            </w:tcBorders>
            <w:shd w:val="clear" w:color="auto" w:fill="auto"/>
            <w:vAlign w:val="bottom"/>
          </w:tcPr>
          <w:p>
            <w:pPr>
              <w:jc w:val="center"/>
              <w:rPr>
                <w:rFonts w:ascii="宋体" w:hAnsi="宋体" w:cs="Arial"/>
                <w:sz w:val="24"/>
                <w:szCs w:val="24"/>
              </w:rPr>
            </w:pPr>
            <w:r>
              <w:rPr>
                <w:rFonts w:hint="eastAsia" w:ascii="宋体" w:hAnsi="宋体"/>
                <w:sz w:val="24"/>
                <w:szCs w:val="24"/>
              </w:rPr>
              <w:t>3020.00</w:t>
            </w:r>
          </w:p>
        </w:tc>
        <w:tc>
          <w:tcPr>
            <w:tcW w:w="1040" w:type="dxa"/>
            <w:tcBorders>
              <w:top w:val="nil"/>
              <w:left w:val="nil"/>
              <w:bottom w:val="single" w:color="auto" w:sz="8" w:space="0"/>
              <w:right w:val="single" w:color="auto" w:sz="8" w:space="0"/>
            </w:tcBorders>
            <w:shd w:val="clear" w:color="auto" w:fill="auto"/>
            <w:vAlign w:val="bottom"/>
          </w:tcPr>
          <w:p>
            <w:pPr>
              <w:jc w:val="center"/>
              <w:rPr>
                <w:rFonts w:ascii="宋体" w:hAnsi="宋体" w:cs="Arial"/>
                <w:sz w:val="24"/>
                <w:szCs w:val="24"/>
              </w:rPr>
            </w:pPr>
            <w:r>
              <w:rPr>
                <w:rFonts w:hint="eastAsia" w:ascii="宋体" w:hAnsi="宋体" w:cs="Arial"/>
                <w:sz w:val="24"/>
                <w:szCs w:val="24"/>
              </w:rPr>
              <w:t>20</w:t>
            </w:r>
          </w:p>
        </w:tc>
        <w:tc>
          <w:tcPr>
            <w:tcW w:w="1480" w:type="dxa"/>
            <w:tcBorders>
              <w:top w:val="nil"/>
              <w:left w:val="nil"/>
              <w:bottom w:val="single" w:color="auto" w:sz="8" w:space="0"/>
              <w:right w:val="single" w:color="auto" w:sz="8" w:space="0"/>
            </w:tcBorders>
            <w:shd w:val="clear" w:color="auto" w:fill="auto"/>
            <w:vAlign w:val="bottom"/>
          </w:tcPr>
          <w:p>
            <w:pPr>
              <w:jc w:val="center"/>
              <w:rPr>
                <w:rFonts w:ascii="宋体" w:hAnsi="宋体" w:cs="Arial"/>
                <w:sz w:val="24"/>
                <w:szCs w:val="24"/>
              </w:rPr>
            </w:pPr>
            <w:r>
              <w:rPr>
                <w:rFonts w:hint="eastAsia" w:ascii="宋体" w:hAnsi="宋体"/>
                <w:sz w:val="24"/>
                <w:szCs w:val="24"/>
              </w:rPr>
              <w:t>3000.00</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rPr>
          <w:rFonts w:ascii="宋体" w:hAnsi="宋体"/>
          <w:sz w:val="24"/>
          <w:szCs w:val="2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80" w:firstLineChars="200"/>
        <w:rPr>
          <w:rFonts w:ascii="宋体" w:hAnsi="宋体"/>
          <w:sz w:val="24"/>
          <w:szCs w:val="24"/>
        </w:rPr>
      </w:pPr>
      <w:r>
        <w:rPr>
          <w:rFonts w:hint="eastAsia" w:ascii="宋体" w:hAnsi="宋体" w:cs="宋体"/>
          <w:sz w:val="24"/>
          <w:szCs w:val="24"/>
        </w:rPr>
        <w:t>上表所示单位组织的政府非税收入计划，是经过唐山市非税收入管理局审核通过的。具体如下</w:t>
      </w:r>
      <w:r>
        <w:rPr>
          <w:rFonts w:ascii="宋体" w:hAnsi="宋体"/>
          <w:sz w:val="24"/>
          <w:szCs w:val="24"/>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、罚没收入（刑事诉讼涉案财物）</w:t>
      </w:r>
      <w:r>
        <w:rPr>
          <w:rFonts w:ascii="宋体" w:hAnsi="宋体" w:cs="宋体"/>
          <w:sz w:val="24"/>
          <w:szCs w:val="24"/>
        </w:rPr>
        <w:t>:</w:t>
      </w:r>
      <w:r>
        <w:rPr>
          <w:rFonts w:hint="eastAsia" w:ascii="宋体" w:hAnsi="宋体" w:cs="宋体"/>
          <w:sz w:val="24"/>
          <w:szCs w:val="24"/>
        </w:rPr>
        <w:t>根据《人民检察院刑事诉讼涉案财物管理规定》，人民检察院刑事诉讼涉案财物是指人民检察院在刑事诉讼过程中查封、扣押、冻结的与案件有关的财物及其孳息以及从其他办案机关接受的财物及其孳息，包括犯罪嫌疑人的违法所得及其孳息、供犯罪所用的财物、非法持有的违禁品以及其他与案件有关的财物及其孳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80" w:firstLineChars="200"/>
        <w:rPr>
          <w:sz w:val="24"/>
          <w:szCs w:val="24"/>
        </w:rPr>
      </w:pPr>
      <w:r>
        <w:rPr>
          <w:rFonts w:hint="eastAsia" w:ascii="宋体" w:hAnsi="宋体" w:cs="宋体"/>
          <w:sz w:val="24"/>
          <w:szCs w:val="24"/>
        </w:rPr>
        <w:t>2、利息收入：主要是涉案财物账户中应缴纳国库的利息收入。</w:t>
      </w:r>
    </w:p>
    <w:p/>
    <w:p/>
    <w:p/>
    <w:p>
      <w:pPr>
        <w:spacing w:line="360" w:lineRule="auto"/>
        <w:rPr>
          <w:rFonts w:ascii="宋体" w:hAnsi="宋体" w:eastAsia="宋体"/>
          <w:b/>
          <w:color w:val="000000"/>
          <w:sz w:val="28"/>
        </w:rPr>
      </w:pPr>
      <w:r>
        <w:rPr>
          <w:rFonts w:ascii="宋体" w:hAnsi="宋体" w:eastAsia="宋体"/>
          <w:b/>
          <w:color w:val="000000"/>
          <w:sz w:val="28"/>
        </w:rPr>
        <w:t>二、支出预算说明</w:t>
      </w:r>
    </w:p>
    <w:p>
      <w:pPr>
        <w:spacing w:line="480" w:lineRule="auto"/>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11"/>
        <w:tblW w:w="0" w:type="auto"/>
        <w:jc w:val="center"/>
        <w:tblLayout w:type="autofit"/>
        <w:tblCellMar>
          <w:top w:w="57" w:type="dxa"/>
          <w:left w:w="85" w:type="dxa"/>
          <w:bottom w:w="57" w:type="dxa"/>
          <w:right w:w="85" w:type="dxa"/>
        </w:tblCellMar>
      </w:tblPr>
      <w:tblGrid>
        <w:gridCol w:w="2036"/>
        <w:gridCol w:w="2267"/>
        <w:gridCol w:w="1060"/>
        <w:gridCol w:w="8765"/>
      </w:tblGrid>
      <w:tr>
        <w:tblPrEx>
          <w:tblCellMar>
            <w:top w:w="57" w:type="dxa"/>
            <w:left w:w="85" w:type="dxa"/>
            <w:bottom w:w="57" w:type="dxa"/>
            <w:right w:w="85" w:type="dxa"/>
          </w:tblCellMar>
        </w:tblPrEx>
        <w:trPr>
          <w:cantSplit/>
          <w:trHeight w:val="312" w:hRule="atLeast"/>
          <w:tblHeader/>
          <w:jc w:val="center"/>
        </w:trPr>
        <w:tc>
          <w:tcPr>
            <w:tcW w:w="0" w:type="auto"/>
            <w:gridSpan w:val="3"/>
            <w:tcBorders>
              <w:bottom w:val="single" w:color="auto" w:sz="4" w:space="0"/>
            </w:tcBorders>
            <w:shd w:val="clear" w:color="auto" w:fill="auto"/>
            <w:noWrap/>
            <w:vAlign w:val="center"/>
          </w:tcPr>
          <w:p>
            <w:pPr>
              <w:rPr>
                <w:rFonts w:ascii="黑体" w:hAnsi="黑体" w:eastAsia="黑体" w:cs="宋体"/>
                <w:b/>
                <w:color w:val="000000"/>
                <w:szCs w:val="21"/>
              </w:rPr>
            </w:pPr>
            <w:r>
              <w:rPr>
                <w:rFonts w:ascii="宋体" w:hAnsi="宋体"/>
                <w:sz w:val="28"/>
              </w:rPr>
              <w:t>30500</w:t>
            </w:r>
            <w:r>
              <w:rPr>
                <w:rFonts w:hint="eastAsia" w:ascii="宋体" w:hAnsi="宋体"/>
                <w:sz w:val="28"/>
                <w:lang w:val="en-US" w:eastAsia="zh-CN"/>
              </w:rPr>
              <w:t>1</w:t>
            </w:r>
            <w:r>
              <w:rPr>
                <w:rFonts w:ascii="宋体" w:hAnsi="宋体"/>
                <w:sz w:val="28"/>
              </w:rPr>
              <w:t>唐山市人民检察院</w:t>
            </w:r>
          </w:p>
        </w:tc>
        <w:tc>
          <w:tcPr>
            <w:tcW w:w="0" w:type="auto"/>
            <w:tcBorders>
              <w:bottom w:val="single" w:color="auto" w:sz="4" w:space="0"/>
            </w:tcBorders>
            <w:shd w:val="clear" w:color="auto" w:fill="auto"/>
            <w:noWrap/>
            <w:vAlign w:val="center"/>
          </w:tcPr>
          <w:p>
            <w:pPr>
              <w:jc w:val="right"/>
              <w:rPr>
                <w:rFonts w:ascii="黑体" w:hAnsi="黑体" w:eastAsia="黑体" w:cs="宋体"/>
                <w:b/>
                <w:color w:val="00000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trPr>
        <w:tc>
          <w:tcPr>
            <w:tcW w:w="0" w:type="auto"/>
            <w:vMerge w:val="restart"/>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项目编码</w:t>
            </w:r>
          </w:p>
        </w:tc>
        <w:tc>
          <w:tcPr>
            <w:tcW w:w="2267" w:type="dxa"/>
            <w:vMerge w:val="restart"/>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color w:val="000000"/>
                <w:szCs w:val="21"/>
              </w:rPr>
              <w:t>项目名称</w:t>
            </w:r>
          </w:p>
        </w:tc>
        <w:tc>
          <w:tcPr>
            <w:tcW w:w="1060" w:type="dxa"/>
            <w:vMerge w:val="restart"/>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color w:val="000000"/>
                <w:szCs w:val="21"/>
              </w:rPr>
              <w:t>项目总计</w:t>
            </w:r>
          </w:p>
        </w:tc>
        <w:tc>
          <w:tcPr>
            <w:tcW w:w="0" w:type="auto"/>
            <w:vMerge w:val="restart"/>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color w:val="00000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trPr>
        <w:tc>
          <w:tcPr>
            <w:tcW w:w="0" w:type="auto"/>
            <w:vMerge w:val="continue"/>
            <w:vAlign w:val="center"/>
          </w:tcPr>
          <w:p>
            <w:pPr>
              <w:jc w:val="center"/>
              <w:rPr>
                <w:rFonts w:ascii="黑体" w:hAnsi="黑体" w:eastAsia="黑体" w:cs="宋体"/>
                <w:b/>
                <w:bCs/>
                <w:color w:val="000000"/>
                <w:szCs w:val="21"/>
              </w:rPr>
            </w:pPr>
          </w:p>
        </w:tc>
        <w:tc>
          <w:tcPr>
            <w:tcW w:w="2267" w:type="dxa"/>
            <w:vMerge w:val="continue"/>
            <w:vAlign w:val="center"/>
          </w:tcPr>
          <w:p>
            <w:pPr>
              <w:jc w:val="center"/>
              <w:rPr>
                <w:rFonts w:ascii="黑体" w:hAnsi="黑体" w:eastAsia="黑体" w:cs="宋体"/>
                <w:b/>
                <w:bCs/>
                <w:color w:val="000000"/>
                <w:szCs w:val="21"/>
              </w:rPr>
            </w:pPr>
          </w:p>
        </w:tc>
        <w:tc>
          <w:tcPr>
            <w:tcW w:w="1060" w:type="dxa"/>
            <w:vMerge w:val="continue"/>
            <w:vAlign w:val="center"/>
          </w:tcPr>
          <w:p>
            <w:pPr>
              <w:jc w:val="center"/>
              <w:rPr>
                <w:rFonts w:ascii="黑体" w:hAnsi="黑体" w:eastAsia="黑体" w:cs="宋体"/>
                <w:b/>
                <w:bCs/>
                <w:color w:val="000000"/>
                <w:szCs w:val="21"/>
              </w:rPr>
            </w:pPr>
          </w:p>
        </w:tc>
        <w:tc>
          <w:tcPr>
            <w:tcW w:w="0" w:type="auto"/>
            <w:vMerge w:val="continue"/>
            <w:vAlign w:val="center"/>
          </w:tcPr>
          <w:p>
            <w:pPr>
              <w:jc w:val="center"/>
              <w:rPr>
                <w:rFonts w:ascii="黑体" w:hAnsi="黑体" w:eastAsia="黑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blHeader/>
        </w:trPr>
        <w:tc>
          <w:tcPr>
            <w:tcW w:w="0" w:type="auto"/>
            <w:vMerge w:val="continue"/>
            <w:shd w:val="clear" w:color="auto" w:fill="auto"/>
            <w:vAlign w:val="center"/>
          </w:tcPr>
          <w:p>
            <w:pPr>
              <w:rPr>
                <w:rFonts w:ascii="宋体" w:hAnsi="宋体" w:cs="宋体"/>
                <w:color w:val="000000"/>
                <w:szCs w:val="21"/>
              </w:rPr>
            </w:pPr>
          </w:p>
        </w:tc>
        <w:tc>
          <w:tcPr>
            <w:tcW w:w="2267" w:type="dxa"/>
            <w:vMerge w:val="continue"/>
            <w:shd w:val="clear" w:color="auto" w:fill="auto"/>
            <w:vAlign w:val="center"/>
          </w:tcPr>
          <w:p>
            <w:pPr>
              <w:rPr>
                <w:rFonts w:ascii="宋体" w:hAnsi="宋体" w:cs="宋体"/>
                <w:color w:val="000000"/>
                <w:szCs w:val="21"/>
              </w:rPr>
            </w:pPr>
          </w:p>
        </w:tc>
        <w:tc>
          <w:tcPr>
            <w:tcW w:w="1060" w:type="dxa"/>
            <w:vMerge w:val="continue"/>
            <w:shd w:val="clear" w:color="auto" w:fill="auto"/>
            <w:vAlign w:val="center"/>
          </w:tcPr>
          <w:p>
            <w:pPr>
              <w:jc w:val="right"/>
              <w:rPr>
                <w:rFonts w:ascii="宋体" w:hAnsi="宋体" w:cs="宋体"/>
                <w:color w:val="000000"/>
                <w:szCs w:val="21"/>
              </w:rPr>
            </w:pPr>
          </w:p>
        </w:tc>
        <w:tc>
          <w:tcPr>
            <w:tcW w:w="0" w:type="auto"/>
            <w:vMerge w:val="continue"/>
            <w:shd w:val="clear" w:color="auto" w:fill="auto"/>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0" w:type="auto"/>
            <w:shd w:val="clear" w:color="auto" w:fill="auto"/>
            <w:vAlign w:val="center"/>
          </w:tcPr>
          <w:p>
            <w:pPr>
              <w:rPr>
                <w:rFonts w:ascii="宋体" w:hAnsi="宋体" w:cs="宋体"/>
                <w:color w:val="000000"/>
                <w:szCs w:val="21"/>
              </w:rPr>
            </w:pP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合计</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1641.71</w:t>
            </w:r>
          </w:p>
        </w:tc>
        <w:tc>
          <w:tcPr>
            <w:tcW w:w="0" w:type="auto"/>
            <w:shd w:val="clear" w:color="auto" w:fill="auto"/>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30500221GGZ0221</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信息化设备购置费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102.59</w:t>
            </w:r>
          </w:p>
        </w:tc>
        <w:tc>
          <w:tcPr>
            <w:tcW w:w="0" w:type="auto"/>
            <w:shd w:val="clear" w:color="auto" w:fill="auto"/>
            <w:vAlign w:val="center"/>
          </w:tcPr>
          <w:p>
            <w:pPr>
              <w:rPr>
                <w:rFonts w:ascii="宋体" w:hAnsi="宋体" w:cs="宋体"/>
                <w:color w:val="000000"/>
                <w:szCs w:val="21"/>
              </w:rPr>
            </w:pPr>
            <w:r>
              <w:rPr>
                <w:rFonts w:ascii="宋体" w:hAnsi="宋体" w:cs="宋体"/>
                <w:color w:val="000000"/>
                <w:szCs w:val="21"/>
              </w:rPr>
              <w:t>1.根据工作网统一业务2.0系统上线配套需要，需对终端用户安装省院统一的签章、专用浏览器，市院计划300套，共需资金13.2万元 。</w:t>
            </w:r>
          </w:p>
          <w:p>
            <w:pPr>
              <w:rPr>
                <w:rFonts w:ascii="宋体" w:hAnsi="宋体" w:cs="宋体"/>
                <w:color w:val="000000"/>
                <w:szCs w:val="21"/>
              </w:rPr>
            </w:pPr>
            <w:r>
              <w:rPr>
                <w:rFonts w:ascii="宋体" w:hAnsi="宋体" w:cs="宋体"/>
                <w:color w:val="000000"/>
                <w:szCs w:val="21"/>
              </w:rPr>
              <w:t>2.根据高检院关于机要密码工作统一部署，目前全市两级检察机关现用的PYY2012202（千兆）、PYY2012204（百兆）、PYY20212203（十兆）普通密码机将于2022年到达使用年限，涉密网络系统的密码保障系统应装备新一代普通密码设备，市院需50万元，海港院20万元。</w:t>
            </w:r>
          </w:p>
          <w:p>
            <w:pPr>
              <w:rPr>
                <w:rFonts w:ascii="宋体" w:hAnsi="宋体" w:cs="宋体"/>
                <w:color w:val="000000"/>
                <w:szCs w:val="21"/>
              </w:rPr>
            </w:pPr>
            <w:r>
              <w:rPr>
                <w:rFonts w:ascii="宋体" w:hAnsi="宋体" w:cs="宋体"/>
                <w:color w:val="000000"/>
                <w:szCs w:val="21"/>
              </w:rPr>
              <w:t>3.安可替代工程适配产品清单－认证系统，是检察人员登录检察涉密网身份认证制作系统，每名检察人员均</w:t>
            </w:r>
            <w:r>
              <w:rPr>
                <w:rFonts w:hint="eastAsia" w:ascii="宋体" w:hAnsi="宋体" w:cs="宋体"/>
                <w:color w:val="000000"/>
                <w:szCs w:val="21"/>
              </w:rPr>
              <w:t>需凭认证</w:t>
            </w:r>
            <w:r>
              <w:rPr>
                <w:rFonts w:ascii="宋体" w:hAnsi="宋体" w:cs="宋体"/>
                <w:color w:val="000000"/>
                <w:szCs w:val="21"/>
              </w:rPr>
              <w:t>K才能够登录涉密网络。需要1套本地证书注册系统，需12万元；1台涉密专用管理终端，共需0.79万元；认证型智能密码钥匙300个，需6.6万元。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30500222GGZ0224</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唐山市未成年人保护社会支持体系建设基地暨未检办案工作区</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20.00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唐山市未成年人保护社会支持体系建设基地暨未检办案工作区建设费用。我院拟在唐山市青少年宫建成唐山市未成年人保护社会支持体系建设基地暨未检办案工作区，该办案区占地面积约</w:t>
            </w:r>
            <w:r>
              <w:rPr>
                <w:rFonts w:ascii="宋体" w:hAnsi="宋体" w:cs="宋体"/>
                <w:color w:val="000000"/>
                <w:szCs w:val="21"/>
              </w:rPr>
              <w:t>120平方米，可为涉案未成年人开展观护帮教、心理疏导、心理测评、心理抚慰等工作。现需要对基地进行改造施工，需配置办公桌椅、文件柜、亚克力流程图等设施，工程预算款约人民币20万元。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30500222GGZ0241</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档案办公自动化系统</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30.00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根据《河北省机关档案工作目标管理认定办法》、《河北省机关档案工作目标管理认定标准》要求，我院及海港院需通过档案办公自动化系统实现随办随归，归档率需达到</w:t>
            </w:r>
            <w:r>
              <w:rPr>
                <w:rFonts w:ascii="宋体" w:hAnsi="宋体" w:cs="宋体"/>
                <w:color w:val="000000"/>
                <w:szCs w:val="21"/>
              </w:rPr>
              <w:t>100%，该系统的应用将计入河北省机关到岸工作目标管理认定标准评分系统。共计30万元。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30500220GXS0142</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检察院机关大楼设备维护费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150.00</w:t>
            </w:r>
          </w:p>
        </w:tc>
        <w:tc>
          <w:tcPr>
            <w:tcW w:w="0" w:type="auto"/>
            <w:shd w:val="clear" w:color="auto" w:fill="auto"/>
            <w:vAlign w:val="center"/>
          </w:tcPr>
          <w:p>
            <w:pPr>
              <w:rPr>
                <w:rFonts w:ascii="宋体" w:hAnsi="宋体" w:cs="宋体"/>
                <w:color w:val="000000"/>
                <w:szCs w:val="21"/>
              </w:rPr>
            </w:pPr>
            <w:r>
              <w:rPr>
                <w:rFonts w:ascii="宋体" w:hAnsi="宋体" w:cs="宋体"/>
                <w:color w:val="000000"/>
                <w:szCs w:val="21"/>
              </w:rPr>
              <w:t>1、电梯维修护费约27.6万元</w:t>
            </w:r>
          </w:p>
          <w:p>
            <w:pPr>
              <w:rPr>
                <w:rFonts w:ascii="宋体" w:hAnsi="宋体" w:cs="宋体"/>
                <w:color w:val="000000"/>
                <w:szCs w:val="21"/>
              </w:rPr>
            </w:pPr>
            <w:r>
              <w:rPr>
                <w:rFonts w:ascii="宋体" w:hAnsi="宋体" w:cs="宋体"/>
                <w:color w:val="000000"/>
                <w:szCs w:val="21"/>
              </w:rPr>
              <w:t xml:space="preserve">       市检察院办案侦查指挥中心现有4部电梯，其中：3部客运梯,1部货运梯。根据&lt;&lt;河北省安全生产条例&gt;&gt;和TSG 5001-2009&lt;&lt;电梯使用管理与维护保养规则&gt;&gt;规定，电梯必须由具有电梯维修保养资质的电梯维保公司对电梯进行维保，因此，4台电梯2021年度维保费共计：27.6万元（主要包括：人工费、税金、检验费、限速器校验费及电梯保险等）。</w:t>
            </w:r>
          </w:p>
          <w:p>
            <w:pPr>
              <w:rPr>
                <w:rFonts w:ascii="宋体" w:hAnsi="宋体" w:cs="宋体"/>
                <w:color w:val="000000"/>
                <w:szCs w:val="21"/>
              </w:rPr>
            </w:pPr>
            <w:r>
              <w:rPr>
                <w:rFonts w:ascii="宋体" w:hAnsi="宋体" w:cs="宋体"/>
                <w:color w:val="000000"/>
                <w:szCs w:val="21"/>
              </w:rPr>
              <w:t>2、消防设备维修护费约57万元</w:t>
            </w:r>
          </w:p>
          <w:p>
            <w:pPr>
              <w:rPr>
                <w:rFonts w:ascii="宋体" w:hAnsi="宋体" w:cs="宋体"/>
                <w:color w:val="000000"/>
                <w:szCs w:val="21"/>
              </w:rPr>
            </w:pPr>
            <w:r>
              <w:rPr>
                <w:rFonts w:ascii="宋体" w:hAnsi="宋体" w:cs="宋体"/>
                <w:color w:val="000000"/>
                <w:szCs w:val="21"/>
              </w:rPr>
              <w:t xml:space="preserve">        我院自2006年近3万平米的办公大楼安装消防设备起，安全使用至今，对我院消防</w:t>
            </w:r>
            <w:r>
              <w:rPr>
                <w:rFonts w:hint="eastAsia" w:ascii="宋体" w:hAnsi="宋体" w:cs="宋体"/>
                <w:color w:val="000000"/>
                <w:szCs w:val="21"/>
              </w:rPr>
              <w:t>安全及公私财物起到了安全保障的重大作用。消防维保费</w:t>
            </w:r>
            <w:r>
              <w:rPr>
                <w:rFonts w:ascii="宋体" w:hAnsi="宋体" w:cs="宋体"/>
                <w:color w:val="000000"/>
                <w:szCs w:val="21"/>
              </w:rPr>
              <w:t>16.2万元；2022年拟对档案室气体灭火器充气加压以及根据2021年消防设备检测报告有关维修项目概算，拟需要维修费40.8万元。共计约57万元。</w:t>
            </w:r>
          </w:p>
          <w:p>
            <w:pPr>
              <w:rPr>
                <w:rFonts w:ascii="宋体" w:hAnsi="宋体" w:cs="宋体"/>
                <w:color w:val="000000"/>
                <w:szCs w:val="21"/>
              </w:rPr>
            </w:pPr>
            <w:r>
              <w:rPr>
                <w:rFonts w:ascii="宋体" w:hAnsi="宋体" w:cs="宋体"/>
                <w:color w:val="000000"/>
                <w:szCs w:val="21"/>
              </w:rPr>
              <w:t>3、中央空调维修护费约48.4万元</w:t>
            </w:r>
          </w:p>
          <w:p>
            <w:pPr>
              <w:rPr>
                <w:rFonts w:ascii="宋体" w:hAnsi="宋体" w:cs="宋体"/>
                <w:color w:val="000000"/>
                <w:szCs w:val="21"/>
              </w:rPr>
            </w:pPr>
            <w:r>
              <w:rPr>
                <w:rFonts w:ascii="宋体" w:hAnsi="宋体" w:cs="宋体"/>
                <w:color w:val="000000"/>
                <w:szCs w:val="21"/>
              </w:rPr>
              <w:t xml:space="preserve">        唐山市人民检察院办案侦查指挥技术中心建筑面积约3万平米，整栋建筑物内空调采用传统的中央空调及多联机氟系统，即：夏季采用水冷螺杆+冷却塔中央空调系统，冬季采用板式换热器+市政集中供暖中央空调系统；部分办公房间采用VRV空调系统，2022年预计维护费约48.4万元</w:t>
            </w:r>
            <w:r>
              <w:rPr>
                <w:rFonts w:hint="eastAsia" w:ascii="宋体" w:hAnsi="宋体" w:cs="宋体"/>
                <w:color w:val="000000"/>
                <w:szCs w:val="21"/>
              </w:rPr>
              <w:t>。</w:t>
            </w:r>
          </w:p>
          <w:p>
            <w:pPr>
              <w:rPr>
                <w:rFonts w:ascii="宋体" w:hAnsi="宋体" w:cs="宋体"/>
                <w:color w:val="000000"/>
                <w:szCs w:val="21"/>
              </w:rPr>
            </w:pPr>
            <w:r>
              <w:rPr>
                <w:rFonts w:ascii="宋体" w:hAnsi="宋体" w:cs="宋体"/>
                <w:color w:val="000000"/>
                <w:szCs w:val="21"/>
              </w:rPr>
              <w:t>4、弱电设备维修护费约10万元</w:t>
            </w:r>
          </w:p>
          <w:p>
            <w:pPr>
              <w:rPr>
                <w:rFonts w:ascii="宋体" w:hAnsi="宋体" w:cs="宋体"/>
                <w:color w:val="000000"/>
                <w:szCs w:val="21"/>
              </w:rPr>
            </w:pPr>
            <w:r>
              <w:rPr>
                <w:rFonts w:ascii="宋体" w:hAnsi="宋体" w:cs="宋体"/>
                <w:color w:val="000000"/>
                <w:szCs w:val="21"/>
              </w:rPr>
              <w:t xml:space="preserve">        我院弱电设备已使用多年，2022年约需维修护费10万元。</w:t>
            </w:r>
          </w:p>
          <w:p>
            <w:pPr>
              <w:rPr>
                <w:rFonts w:ascii="宋体" w:hAnsi="宋体" w:cs="宋体"/>
                <w:color w:val="000000"/>
                <w:szCs w:val="21"/>
              </w:rPr>
            </w:pPr>
            <w:r>
              <w:rPr>
                <w:rFonts w:ascii="宋体" w:hAnsi="宋体" w:cs="宋体"/>
                <w:color w:val="000000"/>
                <w:szCs w:val="21"/>
              </w:rPr>
              <w:t>5、其他设备维修费7万元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30500217GHY0005</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业务会议费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19.90</w:t>
            </w:r>
          </w:p>
        </w:tc>
        <w:tc>
          <w:tcPr>
            <w:tcW w:w="0" w:type="auto"/>
            <w:shd w:val="clear" w:color="auto" w:fill="auto"/>
            <w:vAlign w:val="center"/>
          </w:tcPr>
          <w:p>
            <w:pPr>
              <w:rPr>
                <w:rFonts w:ascii="宋体" w:hAnsi="宋体" w:cs="宋体"/>
                <w:color w:val="000000"/>
                <w:szCs w:val="21"/>
              </w:rPr>
            </w:pPr>
            <w:r>
              <w:rPr>
                <w:rFonts w:ascii="宋体" w:hAnsi="宋体" w:cs="宋体"/>
                <w:color w:val="000000"/>
                <w:szCs w:val="21"/>
              </w:rPr>
              <w:t>2021年全年约需会议费为19.9万元，主要包括：1、高检院计划在本市召开全国检察系统部门工作调度会；2、省检察院计划在本市召开全省检察业务工作调度会议；3、全市检察工作调度会；4、全市检察系统部门会议以及其他会议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30500217GPX0006</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业务培训费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13.30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检察工作专业性较强，司法体制改革后，相关业务知识不断更新，为了适应新形势的发展需要，省、市院经常组织开展各项业务学习培训，以满足工作需要，提高办公、办案质量。根据上一年度培训费用支出情况，预计</w:t>
            </w:r>
            <w:r>
              <w:rPr>
                <w:rFonts w:ascii="宋体" w:hAnsi="宋体" w:cs="宋体"/>
                <w:color w:val="000000"/>
                <w:szCs w:val="21"/>
              </w:rPr>
              <w:t>2022年培训费约13.3万元。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30500220GWH0143</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市检察院信息化设施运行费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151.80</w:t>
            </w:r>
          </w:p>
        </w:tc>
        <w:tc>
          <w:tcPr>
            <w:tcW w:w="0" w:type="auto"/>
            <w:shd w:val="clear" w:color="auto" w:fill="auto"/>
            <w:vAlign w:val="center"/>
          </w:tcPr>
          <w:p>
            <w:pPr>
              <w:spacing w:line="280" w:lineRule="exact"/>
              <w:rPr>
                <w:rFonts w:ascii="宋体" w:hAnsi="宋体" w:cs="宋体"/>
                <w:color w:val="000000"/>
                <w:szCs w:val="21"/>
              </w:rPr>
            </w:pPr>
            <w:r>
              <w:rPr>
                <w:rFonts w:hint="eastAsia" w:ascii="宋体" w:hAnsi="宋体" w:cs="宋体"/>
                <w:color w:val="000000"/>
                <w:szCs w:val="21"/>
              </w:rPr>
              <w:t>主要包括：</w:t>
            </w:r>
          </w:p>
          <w:p>
            <w:pPr>
              <w:spacing w:line="280" w:lineRule="exact"/>
              <w:rPr>
                <w:rFonts w:ascii="宋体" w:hAnsi="宋体" w:cs="宋体"/>
                <w:color w:val="000000"/>
                <w:szCs w:val="21"/>
              </w:rPr>
            </w:pPr>
            <w:r>
              <w:rPr>
                <w:rFonts w:hint="eastAsia" w:ascii="宋体" w:hAnsi="宋体" w:cs="宋体"/>
                <w:color w:val="000000"/>
                <w:szCs w:val="21"/>
              </w:rPr>
              <w:t>一、租赁费共</w:t>
            </w:r>
            <w:r>
              <w:rPr>
                <w:rFonts w:ascii="宋体" w:hAnsi="宋体" w:cs="宋体"/>
                <w:color w:val="000000"/>
                <w:szCs w:val="21"/>
              </w:rPr>
              <w:t>44.2万元，其中移动OA办公系统租赁费37万元（租赁）；机关100兆检察互联网使用费7.2万元（租赁）；</w:t>
            </w:r>
          </w:p>
          <w:p>
            <w:pPr>
              <w:spacing w:line="280" w:lineRule="exact"/>
              <w:rPr>
                <w:rFonts w:ascii="宋体" w:hAnsi="宋体" w:cs="宋体"/>
                <w:color w:val="000000"/>
                <w:szCs w:val="21"/>
              </w:rPr>
            </w:pPr>
            <w:r>
              <w:rPr>
                <w:rFonts w:hint="eastAsia" w:ascii="宋体" w:hAnsi="宋体" w:cs="宋体"/>
                <w:color w:val="000000"/>
                <w:szCs w:val="21"/>
              </w:rPr>
              <w:t>二、邮电费机关信息化固定电话费</w:t>
            </w:r>
            <w:r>
              <w:rPr>
                <w:rFonts w:ascii="宋体" w:hAnsi="宋体" w:cs="宋体"/>
                <w:color w:val="000000"/>
                <w:szCs w:val="21"/>
              </w:rPr>
              <w:t>9万元（邮电费）；</w:t>
            </w:r>
          </w:p>
          <w:p>
            <w:pPr>
              <w:spacing w:line="280" w:lineRule="exact"/>
              <w:rPr>
                <w:rFonts w:ascii="宋体" w:hAnsi="宋体" w:cs="宋体"/>
                <w:color w:val="000000"/>
                <w:szCs w:val="21"/>
              </w:rPr>
            </w:pPr>
            <w:r>
              <w:rPr>
                <w:rFonts w:hint="eastAsia" w:ascii="宋体" w:hAnsi="宋体" w:cs="宋体"/>
                <w:color w:val="000000"/>
                <w:szCs w:val="21"/>
              </w:rPr>
              <w:t>三、维护费</w:t>
            </w:r>
            <w:r>
              <w:rPr>
                <w:rFonts w:ascii="宋体" w:hAnsi="宋体" w:cs="宋体"/>
                <w:color w:val="000000"/>
                <w:szCs w:val="21"/>
              </w:rPr>
              <w:t>9</w:t>
            </w:r>
            <w:r>
              <w:rPr>
                <w:rFonts w:hint="eastAsia" w:ascii="宋体" w:hAnsi="宋体" w:cs="宋体"/>
                <w:color w:val="000000"/>
                <w:szCs w:val="21"/>
              </w:rPr>
              <w:t>8.6</w:t>
            </w:r>
            <w:r>
              <w:rPr>
                <w:rFonts w:ascii="宋体" w:hAnsi="宋体" w:cs="宋体"/>
                <w:color w:val="000000"/>
                <w:szCs w:val="21"/>
              </w:rPr>
              <w:t>万元</w:t>
            </w:r>
          </w:p>
          <w:p>
            <w:pPr>
              <w:spacing w:line="280" w:lineRule="exact"/>
              <w:rPr>
                <w:rFonts w:ascii="宋体" w:hAnsi="宋体" w:cs="宋体"/>
                <w:color w:val="000000"/>
                <w:szCs w:val="21"/>
              </w:rPr>
            </w:pPr>
            <w:r>
              <w:rPr>
                <w:rFonts w:hint="eastAsia" w:ascii="宋体" w:hAnsi="宋体" w:cs="宋体"/>
                <w:color w:val="000000"/>
                <w:szCs w:val="21"/>
              </w:rPr>
              <w:t>（一）驻场运维费</w:t>
            </w:r>
            <w:r>
              <w:rPr>
                <w:rFonts w:ascii="宋体" w:hAnsi="宋体" w:cs="宋体"/>
                <w:color w:val="000000"/>
                <w:szCs w:val="21"/>
              </w:rPr>
              <w:t>39.6万元</w:t>
            </w:r>
          </w:p>
          <w:p>
            <w:pPr>
              <w:spacing w:line="280" w:lineRule="exact"/>
              <w:rPr>
                <w:rFonts w:ascii="宋体" w:hAnsi="宋体" w:cs="宋体"/>
                <w:color w:val="000000"/>
                <w:szCs w:val="21"/>
              </w:rPr>
            </w:pPr>
            <w:r>
              <w:rPr>
                <w:rFonts w:hint="eastAsia" w:ascii="宋体" w:hAnsi="宋体" w:cs="宋体"/>
                <w:color w:val="000000"/>
                <w:szCs w:val="21"/>
              </w:rPr>
              <w:t>（二）市院、海港院外网网站维护费用</w:t>
            </w:r>
            <w:r>
              <w:rPr>
                <w:rFonts w:ascii="宋体" w:hAnsi="宋体" w:cs="宋体"/>
                <w:color w:val="000000"/>
                <w:szCs w:val="21"/>
              </w:rPr>
              <w:t>2.4万元。（全省统一）</w:t>
            </w:r>
          </w:p>
          <w:p>
            <w:pPr>
              <w:spacing w:line="280" w:lineRule="exact"/>
              <w:rPr>
                <w:rFonts w:ascii="宋体" w:hAnsi="宋体" w:cs="宋体"/>
                <w:color w:val="000000"/>
                <w:szCs w:val="21"/>
              </w:rPr>
            </w:pPr>
            <w:r>
              <w:rPr>
                <w:rFonts w:hint="eastAsia" w:ascii="宋体" w:hAnsi="宋体" w:cs="宋体"/>
                <w:color w:val="000000"/>
                <w:szCs w:val="21"/>
              </w:rPr>
              <w:t>（三）市院、海港院统一业务软件维护费用</w:t>
            </w:r>
            <w:r>
              <w:rPr>
                <w:rFonts w:ascii="宋体" w:hAnsi="宋体" w:cs="宋体"/>
                <w:color w:val="000000"/>
                <w:szCs w:val="21"/>
              </w:rPr>
              <w:t>5.8万元。（全省统一）</w:t>
            </w:r>
          </w:p>
          <w:p>
            <w:pPr>
              <w:spacing w:line="280" w:lineRule="exact"/>
              <w:rPr>
                <w:rFonts w:ascii="宋体" w:hAnsi="宋体" w:cs="宋体"/>
                <w:color w:val="000000"/>
                <w:szCs w:val="21"/>
              </w:rPr>
            </w:pPr>
            <w:r>
              <w:rPr>
                <w:rFonts w:hint="eastAsia" w:ascii="宋体" w:hAnsi="宋体" w:cs="宋体"/>
                <w:color w:val="000000"/>
                <w:szCs w:val="21"/>
              </w:rPr>
              <w:t>（四）大楼</w:t>
            </w:r>
            <w:r>
              <w:rPr>
                <w:rFonts w:ascii="宋体" w:hAnsi="宋体" w:cs="宋体"/>
                <w:color w:val="000000"/>
                <w:szCs w:val="21"/>
              </w:rPr>
              <w:t>UPS和机房专用空调的维护费6万元</w:t>
            </w:r>
          </w:p>
          <w:p>
            <w:pPr>
              <w:spacing w:line="280" w:lineRule="exact"/>
              <w:rPr>
                <w:rFonts w:ascii="宋体" w:hAnsi="宋体" w:cs="宋体"/>
                <w:color w:val="000000"/>
                <w:szCs w:val="21"/>
              </w:rPr>
            </w:pPr>
            <w:r>
              <w:rPr>
                <w:rFonts w:hint="eastAsia" w:ascii="宋体" w:hAnsi="宋体" w:cs="宋体"/>
                <w:color w:val="000000"/>
                <w:szCs w:val="21"/>
              </w:rPr>
              <w:t>（五）人脸识别系统及会议音响设备维护</w:t>
            </w:r>
            <w:r>
              <w:rPr>
                <w:rFonts w:ascii="宋体" w:hAnsi="宋体" w:cs="宋体"/>
                <w:color w:val="000000"/>
                <w:szCs w:val="21"/>
              </w:rPr>
              <w:t>4万元</w:t>
            </w:r>
          </w:p>
          <w:p>
            <w:pPr>
              <w:spacing w:line="280" w:lineRule="exact"/>
              <w:rPr>
                <w:rFonts w:ascii="宋体" w:hAnsi="宋体" w:cs="宋体"/>
                <w:color w:val="000000"/>
                <w:szCs w:val="21"/>
              </w:rPr>
            </w:pPr>
            <w:r>
              <w:rPr>
                <w:rFonts w:hint="eastAsia" w:ascii="宋体" w:hAnsi="宋体" w:cs="宋体"/>
                <w:color w:val="000000"/>
                <w:szCs w:val="21"/>
              </w:rPr>
              <w:t>（六）维修护、耗材、维护升级费</w:t>
            </w:r>
            <w:r>
              <w:rPr>
                <w:rFonts w:ascii="宋体" w:hAnsi="宋体" w:cs="宋体"/>
                <w:color w:val="000000"/>
                <w:szCs w:val="21"/>
              </w:rPr>
              <w:t>12.8万元(含海港院0.8万</w:t>
            </w:r>
            <w:r>
              <w:rPr>
                <w:rFonts w:hint="eastAsia" w:ascii="宋体" w:hAnsi="宋体" w:cs="宋体"/>
                <w:color w:val="000000"/>
                <w:szCs w:val="21"/>
              </w:rPr>
              <w:t>元）</w:t>
            </w:r>
          </w:p>
          <w:p>
            <w:pPr>
              <w:spacing w:line="280" w:lineRule="exact"/>
              <w:rPr>
                <w:rFonts w:ascii="宋体" w:hAnsi="宋体" w:cs="宋体"/>
                <w:color w:val="000000"/>
                <w:szCs w:val="21"/>
              </w:rPr>
            </w:pPr>
            <w:r>
              <w:rPr>
                <w:rFonts w:hint="eastAsia" w:ascii="宋体" w:hAnsi="宋体" w:cs="宋体"/>
                <w:color w:val="000000"/>
                <w:szCs w:val="21"/>
              </w:rPr>
              <w:t>（七）工作网等保</w:t>
            </w:r>
            <w:r>
              <w:rPr>
                <w:rFonts w:ascii="宋体" w:hAnsi="宋体" w:cs="宋体"/>
                <w:color w:val="000000"/>
                <w:szCs w:val="21"/>
              </w:rPr>
              <w:t>2.0三级标准测评服务费18万元（含海港院9万元）,分级保护测评服务费10万元（含海港院5万元）。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30500222GWH0238</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防疫办人脸测温仪网络使用费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1.50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因疫情需求，需付防疫办人脸测温仪网络使用费</w:t>
            </w:r>
            <w:r>
              <w:rPr>
                <w:rFonts w:ascii="宋体" w:hAnsi="宋体" w:cs="宋体"/>
                <w:color w:val="000000"/>
                <w:szCs w:val="21"/>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30500219GXC0025</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检察宣传费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49.00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面对社会政治经济环境复杂多变和人民群众对法律公平正义的需求不断上升，根据党组“一体两翼”工作布局，检察法治宣传工作在宣传检察机关公益诉讼等法律监督新职能、普法宣传等方面发挥着不可替代的作用，为配合宣传，需要制作宣传展板、印制各种宣传画册、刊物等载体，另需制作微课堂普法宣传视频等宣传费合计约为</w:t>
            </w:r>
            <w:r>
              <w:rPr>
                <w:rFonts w:ascii="宋体" w:hAnsi="宋体" w:cs="宋体"/>
                <w:color w:val="000000"/>
                <w:szCs w:val="21"/>
              </w:rPr>
              <w:t>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30500219GYS0098</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印刷费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30.00</w:t>
            </w:r>
          </w:p>
        </w:tc>
        <w:tc>
          <w:tcPr>
            <w:tcW w:w="0" w:type="auto"/>
            <w:shd w:val="clear" w:color="auto" w:fill="auto"/>
            <w:vAlign w:val="center"/>
          </w:tcPr>
          <w:p>
            <w:pPr>
              <w:rPr>
                <w:rFonts w:ascii="宋体" w:hAnsi="宋体" w:cs="宋体"/>
                <w:color w:val="000000"/>
                <w:szCs w:val="21"/>
              </w:rPr>
            </w:pPr>
            <w:r>
              <w:rPr>
                <w:rFonts w:ascii="宋体" w:hAnsi="宋体" w:cs="宋体"/>
                <w:color w:val="000000"/>
                <w:szCs w:val="21"/>
              </w:rPr>
              <w:t>2022年我单位因业务需要自行打印调阅的卷宗，编辑出版《唐山检察》杂志，将涉及各类案件的相关规定辑印成册，制作各行各业犯罪案件办案指南，印刷调查问卷与宣传册，宣传单，编辑简报，印发通报终结推广全市检察机关相关工作，印刷法律宣讲的条幅和标语，干部的人事任免等约需印刷费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30500217GZX0009</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人民监督员活动经费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10.00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根据河北省人民检察院、河北省财政厅冀检会【</w:t>
            </w:r>
            <w:r>
              <w:rPr>
                <w:rFonts w:ascii="宋体" w:hAnsi="宋体" w:cs="宋体"/>
                <w:color w:val="000000"/>
                <w:szCs w:val="21"/>
              </w:rPr>
              <w:t>2004】7号文件《关于人民监督员制度试点工作所需经费有关问题》的通知安排该项目。2022年预算安排10万元，用于人民监督员履行职责支出的费用。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30500217GZX0010</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公益诉讼活动经费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50.00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检察机关公益诉讼制度，是充分发挥检察机关法律监督职能，促进依法行政、严格执法，维护宪法法律权威，维护社会公平正义，维护国家和社会公共利益。要牢牢抓住公益这个核心，重点是对生态环境和资源保护、国有资产保护、国有土地使用权出让、食品药品安全等领域造成国家和社会公共利益受到侵害的案件提起民事或行政公益诉讼，更好地维护国家利益和人民利益。公益诉讼制度是优化司法职权配置、完善民事、行政诉讼制度，推动公益诉讼制度进一步发展的重要举措。</w:t>
            </w:r>
          </w:p>
          <w:p>
            <w:pPr>
              <w:rPr>
                <w:rFonts w:ascii="宋体" w:hAnsi="宋体" w:cs="宋体"/>
                <w:color w:val="000000"/>
                <w:szCs w:val="21"/>
              </w:rPr>
            </w:pPr>
            <w:r>
              <w:rPr>
                <w:rFonts w:hint="eastAsia" w:ascii="宋体" w:hAnsi="宋体" w:cs="宋体"/>
                <w:color w:val="000000"/>
                <w:szCs w:val="21"/>
              </w:rPr>
              <w:t>按照省院要求及我市现状，</w:t>
            </w:r>
            <w:r>
              <w:rPr>
                <w:rFonts w:ascii="宋体" w:hAnsi="宋体" w:cs="宋体"/>
                <w:color w:val="000000"/>
                <w:szCs w:val="21"/>
              </w:rPr>
              <w:t>2022年市检察院将进一步加大公益诉讼力度，特申请专项经费50万元。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30500217GZX0011</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物业管理费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133.68</w:t>
            </w:r>
          </w:p>
        </w:tc>
        <w:tc>
          <w:tcPr>
            <w:tcW w:w="0" w:type="auto"/>
            <w:shd w:val="clear" w:color="auto" w:fill="auto"/>
            <w:vAlign w:val="center"/>
          </w:tcPr>
          <w:p>
            <w:pPr>
              <w:rPr>
                <w:rFonts w:ascii="宋体" w:hAnsi="宋体" w:cs="宋体"/>
                <w:color w:val="000000"/>
                <w:szCs w:val="21"/>
              </w:rPr>
            </w:pPr>
            <w:r>
              <w:rPr>
                <w:rFonts w:ascii="宋体" w:hAnsi="宋体" w:cs="宋体"/>
                <w:color w:val="000000"/>
                <w:szCs w:val="21"/>
              </w:rPr>
              <w:t>2022年物业费包含办公大楼和检务公开大厅</w:t>
            </w:r>
            <w:r>
              <w:rPr>
                <w:rFonts w:hint="eastAsia" w:ascii="宋体" w:hAnsi="宋体" w:cs="宋体"/>
                <w:color w:val="000000"/>
                <w:szCs w:val="21"/>
              </w:rPr>
              <w:t>等</w:t>
            </w:r>
            <w:r>
              <w:rPr>
                <w:rFonts w:ascii="宋体" w:hAnsi="宋体" w:cs="宋体"/>
                <w:color w:val="000000"/>
                <w:szCs w:val="21"/>
              </w:rPr>
              <w:t>卫生，绿化、美化、净化、量化、执勤、安全巡视与应急处理等服务及其需要的工具、材料</w:t>
            </w:r>
            <w:r>
              <w:rPr>
                <w:rFonts w:hint="eastAsia" w:ascii="宋体" w:hAnsi="宋体" w:cs="宋体"/>
                <w:color w:val="000000"/>
                <w:szCs w:val="21"/>
              </w:rPr>
              <w:t>、配件</w:t>
            </w:r>
            <w:r>
              <w:rPr>
                <w:rFonts w:ascii="宋体" w:hAnsi="宋体" w:cs="宋体"/>
                <w:color w:val="000000"/>
                <w:szCs w:val="21"/>
              </w:rPr>
              <w:t>，同时配合与协助当地公安机关进行安全防卫工作，预计物业费约133.68万元</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30500217GZX0012</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办案差旅费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10.00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该项目主要用于业务部门出差的车船费、住宿费及高速公路通行费等支出，预计</w:t>
            </w:r>
            <w:r>
              <w:rPr>
                <w:rFonts w:ascii="宋体" w:hAnsi="宋体" w:cs="宋体"/>
                <w:color w:val="000000"/>
                <w:szCs w:val="21"/>
              </w:rPr>
              <w:t>2022年经费约10万元。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30500217GZX0013</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办案交通费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8.00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主要是我院业务部门办案用车的汽油款</w:t>
            </w:r>
            <w:r>
              <w:rPr>
                <w:rFonts w:ascii="宋体" w:hAnsi="宋体" w:cs="宋体"/>
                <w:color w:val="000000"/>
                <w:szCs w:val="21"/>
              </w:rPr>
              <w:t>,车辆保险和维修费等预计2022年经费约8万元。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30500217GZX0015</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控告申诉部门接访费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35.00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我院控申处主要负责信访接待工作，</w:t>
            </w:r>
            <w:r>
              <w:rPr>
                <w:rFonts w:ascii="宋体" w:hAnsi="宋体" w:cs="宋体"/>
                <w:color w:val="000000"/>
                <w:szCs w:val="21"/>
              </w:rPr>
              <w:t>2022年度接访专用经费约需35万元。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30500217GZX0016</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机要费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5.00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由于我院工作的特殊性</w:t>
            </w:r>
            <w:r>
              <w:rPr>
                <w:rFonts w:ascii="宋体" w:hAnsi="宋体" w:cs="宋体"/>
                <w:color w:val="000000"/>
                <w:szCs w:val="21"/>
              </w:rPr>
              <w:t>,每年都要向各县(市)区院、省院、高检院及政府部门发送机要文件,2022年机要费约需5万元。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9"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30500217GZX0017</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强化法律监督费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276.00</w:t>
            </w:r>
          </w:p>
        </w:tc>
        <w:tc>
          <w:tcPr>
            <w:tcW w:w="0" w:type="auto"/>
            <w:shd w:val="clear" w:color="auto" w:fill="auto"/>
            <w:vAlign w:val="center"/>
          </w:tcPr>
          <w:p>
            <w:pPr>
              <w:rPr>
                <w:rFonts w:cs="宋体" w:asciiTheme="minorEastAsia" w:hAnsiTheme="minorEastAsia"/>
                <w:color w:val="000000"/>
                <w:szCs w:val="21"/>
              </w:rPr>
            </w:pPr>
            <w:r>
              <w:rPr>
                <w:rFonts w:hint="eastAsia" w:asciiTheme="minorEastAsia" w:hAnsiTheme="minorEastAsia"/>
                <w:szCs w:val="21"/>
              </w:rPr>
              <w:t>根据高检院、省院2022年的工作部署，围绕检察“质量建设年”活动，全面提升检察工作水平，结合以往强化法律监督经费的支出内容，现申请该项经费276万元。主要用于以下方面的支出：1、少捕慎诉慎押及认罪认罚从宽工作。随着我国刑事犯罪结构性变化，为了适应新时代人民群众对民主、法治、公平、正义、安全等更高水平的要求，进一步落实少捕慎诉慎押的司法政策，推行刑事案件认罪认罚从宽制度，准确及时惩治犯罪，强化人权司法保障、化解社会矛盾，推动国家治理体系和治理能力现代化。2、公益诉讼检察工作。公益诉讼检察工作全面推开以来，案件数量逐年上升，2022年，随着新的“4+5”法定监督责任的落实，公益诉讼检察已实现生态环境和资源保护、食品药品安全、国有财产保护、国有土地使用权、英烈权益保护、安全生产、未成年人保护、军人荣誉名誉权益保障、个人信息保护的全覆盖。在办理案件中需要借助专家及专门机构进行技术检测鉴定等，来有效提升公益诉讼检察监督能力和水平。3、监狱巡回检察工作。全面推进监狱巡回检察，是检察机关贯彻落实中央精神，加强新时代法律监督工作的重要创新举措。切实发挥好“巡”和“驻”的融合优势，以巡回发现问题，促派驻防治监管失职违法，通过派驻检察、机动巡回、回头看等方式督促问题整改落实，有效提升监狱监督检察能力。4、社区矫正法律监督工作。社区矫正法律监督工作，是刑事执行检察工作的重要环节之一，《中共中央关于加强新时代检察机关法律监督工作的意见》明确，检察机关要加强对社区矫正和财产执行的监督，检察监督要落实巡回检察、档案抽查、多部门联合专项检查等，深入社区对矫正工作进行监督，在保障人权的前提下，有效实现对刑事执行的监督检察。5、未成年人保护检察工作。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3"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30500217GZX0017</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强化法律监督费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276.00</w:t>
            </w:r>
          </w:p>
        </w:tc>
        <w:tc>
          <w:tcPr>
            <w:tcW w:w="0" w:type="auto"/>
            <w:shd w:val="clear" w:color="auto" w:fill="auto"/>
            <w:vAlign w:val="center"/>
          </w:tcPr>
          <w:p>
            <w:pPr>
              <w:rPr>
                <w:rFonts w:ascii="宋体" w:hAnsi="宋体" w:cs="宋体"/>
                <w:color w:val="000000"/>
                <w:szCs w:val="21"/>
              </w:rPr>
            </w:pPr>
          </w:p>
          <w:p>
            <w:pPr>
              <w:rPr>
                <w:rFonts w:ascii="宋体" w:hAnsi="宋体" w:cs="宋体"/>
                <w:color w:val="000000"/>
                <w:szCs w:val="21"/>
              </w:rPr>
            </w:pPr>
            <w:r>
              <w:rPr>
                <w:rFonts w:hint="eastAsia" w:asciiTheme="minorEastAsia" w:hAnsiTheme="minorEastAsia"/>
                <w:szCs w:val="21"/>
              </w:rPr>
              <w:t>落实“一号检察建议”为牵引，针对性采取有力举措，把未成年人保护“两法”落实落细，同时</w:t>
            </w:r>
          </w:p>
          <w:p>
            <w:pPr>
              <w:rPr>
                <w:rFonts w:asciiTheme="minorEastAsia" w:hAnsiTheme="minorEastAsia"/>
                <w:szCs w:val="21"/>
              </w:rPr>
            </w:pPr>
            <w:r>
              <w:rPr>
                <w:rFonts w:hint="eastAsia" w:asciiTheme="minorEastAsia" w:hAnsiTheme="minorEastAsia"/>
                <w:szCs w:val="21"/>
              </w:rPr>
              <w:t>配合最高检开展的“检爱同行、共护未来”未成年人保护法律监督专项行动，以有力监督促进“六大保护”相互融通、整体落实。6、民事检察工作。新形势要求民事检察监督要充分发挥社会力量，深化智慧借助，用好民事行政专家资讯网、公益诉讼专家咨询平台等“检察智库”，邀请民事法律专家等，借助外脑提升监督能力和水平等。7、行政检察工作。开展行政违法行为监督，目的是发挥法律监督职能，促进行政机关严格执法、依法行政，维护宪法法律权威，维护国家利益、社会公共利益以及公民、法人或者其他组织 合法权益。比如行政争议实质性化解工作，检察监督履职，有效促进了“都管”，在办好个案基础上，积极开展好类案监督，把“以人民为中心”落实再落实。8、公开听证工作。为回应人民群众的新期盼，高检院适时推出公开听证制度，对于群众诉求强烈、矛盾突出的案件、疑难复杂、引领性案件开展听证，并要求各业务条线“应听证尽听证”，公开听证让公平正义可感可触，有利案结事了。9、职务犯罪检察工作。 注重监检配合，主动加强沟通协调，建立衔接机制，以更强政治责任感和履职智慧，落实工作衔接、提前介入、线索移送等各项制度机制，不断提升办案质效。协同监察机关、法院等，推进受贿、行贿一起查，加大惩腐力度，一体推进不敢腐、不能腐、不想腐，自觉服务反腐败工作大局。10、其他监督检察工作。除上述9项工作外，还有防范化解经济金融风险、平等保护企业合法权益、知识产权综合保护以及为民办实事等其他监督事项。</w:t>
            </w: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30500217GZX0020</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技术鉴定费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主要用于被鉴定人的交通、食宿，供检验对比用的各类样品收集、照相、冲洗照片、保管费以及其他用于技术鉴定的支出等，</w:t>
            </w:r>
            <w:r>
              <w:rPr>
                <w:rFonts w:ascii="宋体" w:hAnsi="宋体" w:cs="宋体"/>
                <w:color w:val="000000"/>
                <w:szCs w:val="21"/>
              </w:rPr>
              <w:t>2022年约需经费1万元。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30500219GZX0088</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刑事和解工作经费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刑事和解有利于节约司法资源，实现司法资源从轻微刑事案件中的有限撤离，使有限的刑事司法资源能够被用在对付严重犯罪上。</w:t>
            </w:r>
            <w:r>
              <w:rPr>
                <w:rFonts w:ascii="宋体" w:hAnsi="宋体" w:cs="宋体"/>
                <w:color w:val="000000"/>
                <w:szCs w:val="21"/>
              </w:rPr>
              <w:t>2022年刑事和解支出约为1万元。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30500219GZX0089</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检察报刊书籍订购费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65.00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依据我院</w:t>
            </w:r>
            <w:r>
              <w:rPr>
                <w:rFonts w:ascii="宋体" w:hAnsi="宋体" w:cs="宋体"/>
                <w:color w:val="000000"/>
                <w:szCs w:val="21"/>
              </w:rPr>
              <w:t>2021年报刊订阅情况,经统计2022年约需65万元。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30500219GZX0090</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聘请翻译及专家经费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在办理案件中有聋哑人和外国人的犯罪，根据法律规定需聘请翻译人员，</w:t>
            </w:r>
            <w:r>
              <w:rPr>
                <w:rFonts w:ascii="宋体" w:hAnsi="宋体" w:cs="宋体"/>
                <w:color w:val="000000"/>
                <w:szCs w:val="21"/>
              </w:rPr>
              <w:t>2022年费用约为1万元。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30500219GZX0097</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出版费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7.00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根据年度工作安排，市院研究室与中国检察出版社合作，每年计划推出一部反映我市检察理论和实务研究成果的检察专著，</w:t>
            </w:r>
            <w:r>
              <w:rPr>
                <w:rFonts w:ascii="宋体" w:hAnsi="宋体" w:cs="宋体"/>
                <w:color w:val="000000"/>
                <w:szCs w:val="21"/>
              </w:rPr>
              <w:t>2022年出版费约需7万元。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30500219GZX0099</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扫黑除恶专项经费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10.00</w:t>
            </w:r>
          </w:p>
        </w:tc>
        <w:tc>
          <w:tcPr>
            <w:tcW w:w="0" w:type="auto"/>
            <w:shd w:val="clear" w:color="auto" w:fill="auto"/>
            <w:vAlign w:val="center"/>
          </w:tcPr>
          <w:p>
            <w:pPr>
              <w:rPr>
                <w:rFonts w:ascii="宋体" w:hAnsi="宋体" w:cs="宋体"/>
                <w:color w:val="000000"/>
                <w:szCs w:val="21"/>
              </w:rPr>
            </w:pPr>
            <w:r>
              <w:rPr>
                <w:rFonts w:ascii="宋体" w:hAnsi="宋体" w:cs="宋体"/>
                <w:color w:val="000000"/>
                <w:szCs w:val="21"/>
              </w:rPr>
              <w:t>2018年1月,中共中央、国务院发出《关于开展扫黑除恶专项斗争的通知》的通知，《通知》指出，为深入贯彻落实党的十九大部署习近平总书记重要指示精神，保障人民安居乐业、社会安定有序、国家长治久安，进一步巩固党的执政基础，党中央、国务院决定，在全国开展扫黑除恶专项斗争。检察机关作为国家专门的法律监督机关，其职责既是通过履行批准逮捕、审查起诉、支持公诉等法律监督职能，保证国家法律的统一和正确实施。因此在全国开展扫黑除恶专项斗争中，检察机关担当着重要角色。随着扫黑除恶工作的逐渐开展，我院办案数量大量增加，因此申请扫</w:t>
            </w:r>
            <w:r>
              <w:rPr>
                <w:rFonts w:hint="eastAsia" w:ascii="宋体" w:hAnsi="宋体" w:cs="宋体"/>
                <w:color w:val="000000"/>
                <w:szCs w:val="21"/>
              </w:rPr>
              <w:t>黑除恶专项经费</w:t>
            </w:r>
            <w:r>
              <w:rPr>
                <w:rFonts w:ascii="宋体" w:hAnsi="宋体" w:cs="宋体"/>
                <w:color w:val="000000"/>
                <w:szCs w:val="21"/>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30500219GZX0109</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援疆经费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30.00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每年我院对口援助新疆第二师库尔勒垦区院</w:t>
            </w:r>
            <w:r>
              <w:rPr>
                <w:rFonts w:ascii="宋体" w:hAnsi="宋体" w:cs="宋体"/>
                <w:color w:val="000000"/>
                <w:szCs w:val="21"/>
              </w:rPr>
              <w:t>15万元，新疆第二师焉耆垦区院15万元，共计30万元。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bookmarkStart w:id="3" w:name="_GoBack"/>
            <w:r>
              <w:rPr>
                <w:rFonts w:ascii="宋体" w:hAnsi="宋体" w:cs="宋体"/>
                <w:color w:val="000000"/>
                <w:szCs w:val="21"/>
              </w:rPr>
              <w:t>305002</w:t>
            </w:r>
            <w:bookmarkEnd w:id="3"/>
            <w:r>
              <w:rPr>
                <w:rFonts w:ascii="宋体" w:hAnsi="宋体" w:cs="宋体"/>
                <w:color w:val="000000"/>
                <w:szCs w:val="21"/>
              </w:rPr>
              <w:t>19GZX0124</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劳务派遣人员经费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326.54</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我院有劳务派遣人员</w:t>
            </w:r>
            <w:r>
              <w:rPr>
                <w:rFonts w:ascii="宋体" w:hAnsi="宋体" w:cs="宋体"/>
                <w:color w:val="000000"/>
                <w:szCs w:val="21"/>
              </w:rPr>
              <w:t>79人(原有编制为120人，由于书记员招聘减少41人），每月工资1900元，养老保险单位部分：522.13元，医疗保险单位部分：434.46元，失业保险单位部分22.84元， 住房公积金单位部分：477元，工伤保险单位部分：46.99元，大病保险单位部分11元，代理费30元。工资、保险及代理费每月3444.42元/每人，2021年劳务派遣人员工资及保险共计约需326.54万元。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30500220GZX0117</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专家咨询服务费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5.00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根据采购相关的法律规定，项目预算评审、招标论证、验收等工作需要聘请专家，并给予一定的专家费，</w:t>
            </w:r>
            <w:r>
              <w:rPr>
                <w:rFonts w:ascii="宋体" w:hAnsi="宋体" w:cs="宋体"/>
                <w:color w:val="000000"/>
                <w:szCs w:val="21"/>
              </w:rPr>
              <w:t>2022年所需5万元经费。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30500220GZX0129</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办公、办案耗材购置费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30.00</w:t>
            </w:r>
          </w:p>
        </w:tc>
        <w:tc>
          <w:tcPr>
            <w:tcW w:w="0" w:type="auto"/>
            <w:shd w:val="clear" w:color="auto" w:fill="auto"/>
            <w:vAlign w:val="center"/>
          </w:tcPr>
          <w:p>
            <w:pPr>
              <w:rPr>
                <w:rFonts w:ascii="宋体" w:hAnsi="宋体" w:cs="宋体"/>
                <w:color w:val="000000"/>
                <w:szCs w:val="21"/>
              </w:rPr>
            </w:pPr>
            <w:r>
              <w:rPr>
                <w:rFonts w:ascii="宋体" w:hAnsi="宋体" w:cs="宋体"/>
                <w:color w:val="000000"/>
                <w:szCs w:val="21"/>
              </w:rPr>
              <w:t>2022年办公、办案耗材购置费约需30万元。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30500220GZX0136</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专家审计费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10.00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检务督察部负有审计职责，聘请专家审计费</w:t>
            </w:r>
            <w:r>
              <w:rPr>
                <w:rFonts w:ascii="宋体" w:hAnsi="宋体" w:cs="宋体"/>
                <w:color w:val="000000"/>
                <w:szCs w:val="21"/>
              </w:rPr>
              <w:t>2022年约需10万元。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30500221GZX0147</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档案数字化</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20.00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根据高检院《关于进一步加强和改进全国检察机关档案工作的意见》要积极推进数字化档案室建设，通过扫描库存档案和接收电子文件的方式形成数字档案，实现检察档案纸质与电子两套化管理。</w:t>
            </w:r>
            <w:r>
              <w:rPr>
                <w:rFonts w:ascii="宋体" w:hAnsi="宋体" w:cs="宋体"/>
                <w:color w:val="000000"/>
                <w:szCs w:val="21"/>
              </w:rPr>
              <w:t>2022年约需经费20万元。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30500221GZX0148</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智能库房维护费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12.40</w:t>
            </w:r>
          </w:p>
        </w:tc>
        <w:tc>
          <w:tcPr>
            <w:tcW w:w="0" w:type="auto"/>
            <w:shd w:val="clear" w:color="auto" w:fill="auto"/>
            <w:vAlign w:val="center"/>
          </w:tcPr>
          <w:p>
            <w:pPr>
              <w:rPr>
                <w:rFonts w:ascii="宋体" w:hAnsi="宋体" w:cs="宋体"/>
                <w:color w:val="000000"/>
                <w:szCs w:val="21"/>
              </w:rPr>
            </w:pPr>
            <w:r>
              <w:rPr>
                <w:rFonts w:ascii="宋体" w:hAnsi="宋体" w:cs="宋体"/>
                <w:color w:val="000000"/>
                <w:szCs w:val="21"/>
              </w:rPr>
              <w:t>2022年对智能库房进行维护费，预计需经费约12.4万元。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30500221GZX0220</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办公楼</w:t>
            </w:r>
            <w:r>
              <w:rPr>
                <w:rFonts w:ascii="宋体" w:hAnsi="宋体" w:cs="宋体"/>
                <w:color w:val="000000"/>
                <w:szCs w:val="21"/>
              </w:rPr>
              <w:t xml:space="preserve"> 饮水设备耗材更新经费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5.00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我院现有净水器</w:t>
            </w:r>
            <w:r>
              <w:rPr>
                <w:rFonts w:ascii="宋体" w:hAnsi="宋体" w:cs="宋体"/>
                <w:color w:val="000000"/>
                <w:szCs w:val="21"/>
              </w:rPr>
              <w:t>16台，每台净水器一年需更换滤芯两次，每次费用为1550元，2022年约需经费5万元。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30500222GZX0225</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未成年人检察工作社会支持体系建设工作</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20.00</w:t>
            </w:r>
          </w:p>
        </w:tc>
        <w:tc>
          <w:tcPr>
            <w:tcW w:w="0" w:type="auto"/>
            <w:shd w:val="clear" w:color="auto" w:fill="auto"/>
            <w:vAlign w:val="center"/>
          </w:tcPr>
          <w:p>
            <w:pPr>
              <w:rPr>
                <w:rFonts w:ascii="宋体" w:hAnsi="宋体" w:cs="宋体"/>
                <w:color w:val="000000"/>
                <w:szCs w:val="21"/>
              </w:rPr>
            </w:pPr>
            <w:r>
              <w:rPr>
                <w:rFonts w:ascii="宋体" w:hAnsi="宋体" w:cs="宋体"/>
                <w:color w:val="000000"/>
                <w:szCs w:val="21"/>
              </w:rPr>
              <w:t>1、未成年人检察工作社会支持体系建设工作。我院申报的社会支持体系建设工作自2019年被高检院及团中央确定为试点单位后，各项工作正在有序开展，根据《最高人民检察院第九检察厅 中国共产主义青年团中央委员会维护青少年权益部关于确定首批委托开展未成年人检察工作社会支持体系建设工作单位的通知》的要求，试点单位以购买服务的方式委托社会服务机构实施项目。该项目2020年度被评为唐山市十大改革创新经验。我院目前正在委托唐山扬帆未成年人司法社会服务中心、唐山诚成青少年司法社会服务中心开展工作，包括：帮教考察、社会调查报告、</w:t>
            </w:r>
            <w:r>
              <w:rPr>
                <w:rFonts w:hint="eastAsia" w:ascii="宋体" w:hAnsi="宋体" w:cs="宋体"/>
                <w:color w:val="000000"/>
                <w:szCs w:val="21"/>
              </w:rPr>
              <w:t>心理测评、心理疏导、亲职教育等。该项目需要办案经费约20</w:t>
            </w:r>
            <w:r>
              <w:rPr>
                <w:rFonts w:ascii="宋体" w:hAnsi="宋体" w:cs="宋体"/>
                <w:color w:val="000000"/>
                <w:szCs w:val="21"/>
              </w:rPr>
              <w:t>万元每年。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0" w:type="auto"/>
            <w:shd w:val="clear" w:color="auto" w:fill="auto"/>
            <w:vAlign w:val="center"/>
          </w:tcPr>
          <w:p>
            <w:pPr>
              <w:rPr>
                <w:rFonts w:ascii="宋体" w:hAnsi="宋体" w:cs="宋体"/>
                <w:color w:val="000000"/>
                <w:szCs w:val="21"/>
              </w:rPr>
            </w:pPr>
            <w:r>
              <w:rPr>
                <w:rFonts w:ascii="宋体" w:hAnsi="宋体" w:cs="宋体"/>
                <w:color w:val="000000"/>
                <w:szCs w:val="21"/>
              </w:rPr>
              <w:t>30500222GZX0236</w:t>
            </w:r>
          </w:p>
        </w:tc>
        <w:tc>
          <w:tcPr>
            <w:tcW w:w="2267" w:type="dxa"/>
            <w:shd w:val="clear" w:color="auto" w:fill="auto"/>
            <w:vAlign w:val="center"/>
          </w:tcPr>
          <w:p>
            <w:pPr>
              <w:rPr>
                <w:rFonts w:ascii="宋体" w:hAnsi="宋体" w:cs="宋体"/>
                <w:color w:val="000000"/>
                <w:szCs w:val="21"/>
              </w:rPr>
            </w:pPr>
            <w:r>
              <w:rPr>
                <w:rFonts w:hint="eastAsia" w:ascii="宋体" w:hAnsi="宋体" w:cs="宋体"/>
                <w:color w:val="000000"/>
                <w:szCs w:val="21"/>
              </w:rPr>
              <w:t>垃圾清运费</w:t>
            </w:r>
          </w:p>
        </w:tc>
        <w:tc>
          <w:tcPr>
            <w:tcW w:w="1060" w:type="dxa"/>
            <w:shd w:val="clear" w:color="auto" w:fill="auto"/>
            <w:vAlign w:val="center"/>
          </w:tcPr>
          <w:p>
            <w:pPr>
              <w:jc w:val="right"/>
              <w:rPr>
                <w:rFonts w:ascii="宋体" w:hAnsi="宋体" w:cs="宋体"/>
                <w:color w:val="000000"/>
                <w:szCs w:val="21"/>
              </w:rPr>
            </w:pPr>
            <w:r>
              <w:rPr>
                <w:rFonts w:ascii="宋体" w:hAnsi="宋体" w:cs="宋体"/>
                <w:color w:val="000000"/>
                <w:szCs w:val="21"/>
              </w:rPr>
              <w:t>2.00</w:t>
            </w:r>
          </w:p>
        </w:tc>
        <w:tc>
          <w:tcPr>
            <w:tcW w:w="0" w:type="auto"/>
            <w:shd w:val="clear" w:color="auto" w:fill="auto"/>
            <w:vAlign w:val="center"/>
          </w:tcPr>
          <w:p>
            <w:pPr>
              <w:rPr>
                <w:rFonts w:ascii="宋体" w:hAnsi="宋体" w:cs="宋体"/>
                <w:color w:val="000000"/>
                <w:szCs w:val="21"/>
              </w:rPr>
            </w:pPr>
            <w:r>
              <w:rPr>
                <w:rFonts w:hint="eastAsia" w:ascii="宋体" w:hAnsi="宋体" w:cs="宋体"/>
                <w:color w:val="000000"/>
                <w:szCs w:val="21"/>
              </w:rPr>
              <w:t>我院每年需付给路北环卫公司</w:t>
            </w:r>
            <w:r>
              <w:rPr>
                <w:rFonts w:ascii="宋体" w:hAnsi="宋体" w:cs="宋体"/>
                <w:color w:val="000000"/>
                <w:szCs w:val="21"/>
              </w:rPr>
              <w:t>2万元。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rPr>
          <w:rFonts w:ascii="宋体" w:hAnsi="宋体" w:eastAsia="宋体"/>
          <w:b/>
          <w:color w:val="000000"/>
          <w:sz w:val="28"/>
        </w:rPr>
        <w:sectPr>
          <w:headerReference r:id="rId10" w:type="default"/>
          <w:pgSz w:w="16838" w:h="11906" w:orient="landscape"/>
          <w:pgMar w:top="1800" w:right="1440" w:bottom="1800" w:left="1440" w:header="851" w:footer="992" w:gutter="0"/>
          <w:cols w:space="425" w:num="1"/>
          <w:docGrid w:type="lines" w:linePitch="312" w:charSpace="0"/>
        </w:sectPr>
      </w:pPr>
    </w:p>
    <w:p>
      <w:pPr>
        <w:spacing w:line="480" w:lineRule="auto"/>
        <w:rPr>
          <w:rFonts w:ascii="宋体" w:hAnsi="宋体" w:eastAsia="宋体"/>
          <w:b/>
          <w:color w:val="000000"/>
          <w:sz w:val="28"/>
        </w:rPr>
      </w:pPr>
      <w:r>
        <w:rPr>
          <w:rFonts w:ascii="宋体" w:hAnsi="宋体" w:eastAsia="宋体"/>
          <w:b/>
          <w:color w:val="000000"/>
          <w:sz w:val="28"/>
        </w:rPr>
        <w:t>（二）专项项目安排说明</w:t>
      </w:r>
    </w:p>
    <w:p>
      <w:pPr>
        <w:spacing w:line="360" w:lineRule="auto"/>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rPr>
          <w:rFonts w:ascii="宋体" w:hAnsi="宋体" w:eastAsia="宋体"/>
          <w:b/>
          <w:color w:val="000000"/>
          <w:sz w:val="44"/>
        </w:rPr>
      </w:pPr>
    </w:p>
    <w:p>
      <w:pPr>
        <w:spacing w:line="360" w:lineRule="auto"/>
        <w:rPr>
          <w:rFonts w:ascii="宋体" w:hAnsi="宋体" w:eastAsia="宋体"/>
          <w:b/>
          <w:color w:val="000000"/>
          <w:sz w:val="44"/>
        </w:rPr>
      </w:pPr>
    </w:p>
    <w:p>
      <w:pPr>
        <w:spacing w:line="360" w:lineRule="auto"/>
        <w:rPr>
          <w:rFonts w:ascii="宋体" w:hAnsi="宋体" w:eastAsia="宋体"/>
          <w:b/>
          <w:color w:val="000000"/>
          <w:sz w:val="44"/>
        </w:rPr>
      </w:pPr>
    </w:p>
    <w:p>
      <w:pPr>
        <w:spacing w:line="360" w:lineRule="auto"/>
        <w:rPr>
          <w:rFonts w:ascii="宋体" w:hAnsi="宋体" w:eastAsia="宋体"/>
          <w:b/>
          <w:color w:val="000000"/>
          <w:sz w:val="44"/>
        </w:rPr>
      </w:pPr>
    </w:p>
    <w:p>
      <w:pPr>
        <w:pStyle w:val="2"/>
        <w:ind w:left="-220" w:leftChars="-100" w:right="-220" w:rightChars="-100"/>
        <w:jc w:val="center"/>
        <w:sectPr>
          <w:pgSz w:w="11906" w:h="16838"/>
          <w:pgMar w:top="1440" w:right="1800" w:bottom="1440" w:left="1800" w:header="851" w:footer="992" w:gutter="0"/>
          <w:cols w:space="425" w:num="1"/>
          <w:docGrid w:type="lines" w:linePitch="312" w:charSpace="0"/>
        </w:sectPr>
      </w:pPr>
      <w:bookmarkStart w:id="1" w:name="_Toc91695360"/>
      <w:r>
        <w:t>二、唐山市冀东地区人民检察院收支预算安排</w:t>
      </w:r>
      <w:bookmarkEnd w:id="1"/>
    </w:p>
    <w:p>
      <w:pPr>
        <w:ind w:left="-220" w:leftChars="-100" w:right="-220" w:rightChars="-100"/>
        <w:jc w:val="center"/>
        <w:rPr>
          <w:rFonts w:ascii="宋体" w:hAnsi="宋体" w:eastAsia="宋体"/>
          <w:b/>
          <w:color w:val="000000"/>
          <w:sz w:val="44"/>
        </w:rPr>
      </w:pPr>
      <w:r>
        <w:rPr>
          <w:rFonts w:hint="eastAsia" w:ascii="宋体" w:hAnsi="宋体" w:eastAsia="宋体"/>
          <w:b/>
          <w:color w:val="000000"/>
          <w:sz w:val="44"/>
        </w:rPr>
        <w:t>唐山市冀东地区人民检察院职责任务与目标</w:t>
      </w:r>
    </w:p>
    <w:p>
      <w:pPr>
        <w:spacing w:line="480" w:lineRule="auto"/>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hint="eastAsia" w:ascii="仿宋" w:hAnsi="仿宋" w:eastAsia="仿宋" w:cs="新宋体"/>
          <w:sz w:val="28"/>
          <w:szCs w:val="28"/>
        </w:rPr>
        <w:t>唐山市冀东地区人民检察院是唐山市人民检察院派出机构，对本辖区内监狱、看守所等监管场所的刑罚执行和监管活动实施法律监督，维护监管秩序稳定和被监管人的合法权益。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hint="eastAsia" w:ascii="仿宋" w:hAnsi="仿宋" w:eastAsia="仿宋" w:cs="新宋体"/>
          <w:sz w:val="28"/>
          <w:szCs w:val="28"/>
        </w:rPr>
        <w:t>具体职责是：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1.</w:t>
      </w:r>
      <w:r>
        <w:rPr>
          <w:rFonts w:hint="eastAsia" w:ascii="仿宋" w:hAnsi="仿宋" w:eastAsia="仿宋" w:cs="新宋体"/>
          <w:sz w:val="28"/>
          <w:szCs w:val="28"/>
        </w:rPr>
        <w:t>对监狱、看守所等监管场所的刑罚执行和监管活动是否合法实行监督。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2.</w:t>
      </w:r>
      <w:r>
        <w:rPr>
          <w:rFonts w:hint="eastAsia" w:ascii="仿宋" w:hAnsi="仿宋" w:eastAsia="仿宋" w:cs="新宋体"/>
          <w:sz w:val="28"/>
          <w:szCs w:val="28"/>
        </w:rPr>
        <w:t>对监狱、看守所提请减刑、假释活动实行法律监督；对人民法院审理、裁定减刑、假释活动实行监督。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3.</w:t>
      </w:r>
      <w:r>
        <w:rPr>
          <w:rFonts w:hint="eastAsia" w:ascii="仿宋" w:hAnsi="仿宋" w:eastAsia="仿宋" w:cs="新宋体"/>
          <w:sz w:val="28"/>
          <w:szCs w:val="28"/>
        </w:rPr>
        <w:t>对监狱、看守所及人民法院决定暂予监外执行活动实行监督。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4.</w:t>
      </w:r>
      <w:r>
        <w:rPr>
          <w:rFonts w:hint="eastAsia" w:ascii="仿宋" w:hAnsi="仿宋" w:eastAsia="仿宋" w:cs="新宋体"/>
          <w:sz w:val="28"/>
          <w:szCs w:val="28"/>
        </w:rPr>
        <w:t>对监管场所发生的罪犯又犯罪案件审查逮捕、审查起诉、出庭支持公诉。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5.</w:t>
      </w:r>
      <w:r>
        <w:rPr>
          <w:rFonts w:hint="eastAsia" w:ascii="仿宋" w:hAnsi="仿宋" w:eastAsia="仿宋" w:cs="新宋体"/>
          <w:sz w:val="28"/>
          <w:szCs w:val="28"/>
        </w:rPr>
        <w:t>对监狱、看守所立案、侦查活动和人民法院的审判活动实行监督。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6.</w:t>
      </w:r>
      <w:r>
        <w:rPr>
          <w:rFonts w:hint="eastAsia" w:ascii="仿宋" w:hAnsi="仿宋" w:eastAsia="仿宋" w:cs="新宋体"/>
          <w:sz w:val="28"/>
          <w:szCs w:val="28"/>
        </w:rPr>
        <w:t>受理本院有管辖权的控告申诉。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7.</w:t>
      </w:r>
      <w:r>
        <w:rPr>
          <w:rFonts w:hint="eastAsia" w:ascii="仿宋" w:hAnsi="仿宋" w:eastAsia="仿宋" w:cs="新宋体"/>
          <w:sz w:val="28"/>
          <w:szCs w:val="28"/>
        </w:rPr>
        <w:t>上级机关交办的其他工作。</w:t>
      </w:r>
    </w:p>
    <w:p/>
    <w:p>
      <w:pPr>
        <w:spacing w:line="480" w:lineRule="auto"/>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hint="eastAsia" w:ascii="仿宋" w:hAnsi="仿宋" w:eastAsia="仿宋" w:cs="新宋体"/>
          <w:sz w:val="28"/>
          <w:szCs w:val="28"/>
        </w:rPr>
        <w:t>负责对辖区内应当由唐山市人民检察院履行法律监督职责的市直以上</w:t>
      </w:r>
      <w:r>
        <w:rPr>
          <w:rFonts w:ascii="仿宋" w:hAnsi="仿宋" w:eastAsia="仿宋" w:cs="新宋体"/>
          <w:sz w:val="28"/>
          <w:szCs w:val="28"/>
        </w:rPr>
        <w:t>9</w:t>
      </w:r>
      <w:r>
        <w:rPr>
          <w:rFonts w:hint="eastAsia" w:ascii="仿宋" w:hAnsi="仿宋" w:eastAsia="仿宋" w:cs="新宋体"/>
          <w:sz w:val="28"/>
          <w:szCs w:val="28"/>
        </w:rPr>
        <w:t>个监狱、</w:t>
      </w:r>
      <w:r>
        <w:rPr>
          <w:rFonts w:ascii="仿宋" w:hAnsi="仿宋" w:eastAsia="仿宋" w:cs="新宋体"/>
          <w:sz w:val="28"/>
          <w:szCs w:val="28"/>
        </w:rPr>
        <w:t>2</w:t>
      </w:r>
      <w:r>
        <w:rPr>
          <w:rFonts w:hint="eastAsia" w:ascii="仿宋" w:hAnsi="仿宋" w:eastAsia="仿宋" w:cs="新宋体"/>
          <w:sz w:val="28"/>
          <w:szCs w:val="28"/>
        </w:rPr>
        <w:t>个看守所等监管场所的刑罚执行和监管活动实行检察监督，保证国家法律法规在刑罚执行和监管活动中的正确实施，维护监管秩序和被监管人员的合法权益，保证监管活动的顺利进行。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hint="eastAsia" w:ascii="仿宋" w:hAnsi="仿宋" w:eastAsia="仿宋" w:cs="新宋体"/>
          <w:bCs/>
          <w:sz w:val="28"/>
          <w:szCs w:val="28"/>
        </w:rPr>
        <w:t>指导思想及总体要求：</w:t>
      </w:r>
      <w:r>
        <w:rPr>
          <w:rFonts w:hint="eastAsia" w:ascii="仿宋" w:hAnsi="仿宋" w:eastAsia="仿宋" w:cs="新宋体"/>
          <w:sz w:val="28"/>
          <w:szCs w:val="28"/>
        </w:rPr>
        <w:t>高起点定位、高标准工作，全面建设及业务工作努力争取全省第一、全国一流。严格认真履行职责，充分发挥职能作用，进一步深化和细化监所检察监督，保证刑罚执行和监管活动的依法正确实施，努力维护司法公平正义、维护监管场所及监管秩序安全稳定、维护被监管人员的合法权益，有效预防监管场所各类事故和职务犯罪。</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2" w:firstLineChars="200"/>
        <w:rPr>
          <w:rFonts w:ascii="仿宋" w:hAnsi="仿宋" w:eastAsia="仿宋" w:cs="宋体"/>
          <w:sz w:val="28"/>
          <w:szCs w:val="28"/>
        </w:rPr>
      </w:pPr>
      <w:r>
        <w:rPr>
          <w:rFonts w:hint="eastAsia" w:ascii="仿宋" w:hAnsi="仿宋" w:eastAsia="仿宋" w:cs="宋体"/>
          <w:b/>
          <w:bCs/>
          <w:sz w:val="28"/>
          <w:szCs w:val="28"/>
        </w:rPr>
        <w:t>（一）</w:t>
      </w:r>
      <w:r>
        <w:rPr>
          <w:rFonts w:hint="eastAsia" w:ascii="仿宋" w:hAnsi="仿宋" w:eastAsia="仿宋" w:cs="宋体"/>
          <w:sz w:val="28"/>
          <w:szCs w:val="28"/>
        </w:rPr>
        <w:t>机构队伍建设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Arial"/>
          <w:sz w:val="28"/>
          <w:szCs w:val="28"/>
        </w:rPr>
        <w:t>1.</w:t>
      </w:r>
      <w:r>
        <w:rPr>
          <w:rFonts w:hint="eastAsia" w:ascii="仿宋" w:hAnsi="仿宋" w:eastAsia="仿宋" w:cs="新宋体"/>
          <w:sz w:val="28"/>
          <w:szCs w:val="28"/>
        </w:rPr>
        <w:t>加强学习教育，确保队伍政治合格、思想道德纯洁。坚持理论学习和政治教育制度，开展读书、谈心、学习体会交流活动。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2.</w:t>
      </w:r>
      <w:r>
        <w:rPr>
          <w:rFonts w:hint="eastAsia" w:ascii="仿宋" w:hAnsi="仿宋" w:eastAsia="仿宋" w:cs="新宋体"/>
          <w:sz w:val="28"/>
          <w:szCs w:val="28"/>
        </w:rPr>
        <w:t>落实上级院和当地党委部署，结合实际开展学习贯彻习近平新时代中国特色社会主义思想</w:t>
      </w:r>
      <w:r>
        <w:rPr>
          <w:rFonts w:ascii="仿宋" w:hAnsi="仿宋" w:eastAsia="仿宋" w:cs="新宋体"/>
          <w:sz w:val="28"/>
          <w:szCs w:val="28"/>
        </w:rPr>
        <w:t>,</w:t>
      </w:r>
      <w:r>
        <w:rPr>
          <w:rFonts w:hint="eastAsia" w:ascii="仿宋" w:hAnsi="仿宋" w:eastAsia="仿宋" w:cs="新宋体"/>
          <w:sz w:val="28"/>
          <w:szCs w:val="28"/>
        </w:rPr>
        <w:t>抓好活动实施、力求实效。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3.</w:t>
      </w:r>
      <w:r>
        <w:rPr>
          <w:rFonts w:hint="eastAsia" w:ascii="仿宋" w:hAnsi="仿宋" w:eastAsia="仿宋" w:cs="新宋体"/>
          <w:sz w:val="28"/>
          <w:szCs w:val="28"/>
        </w:rPr>
        <w:t>加强党组、支部建设。坚持和完善每周组织生活、每月党员学习教育、每季度“三会一课”、每半年党内民主生活、每年定期评议党员等制度。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4.</w:t>
      </w:r>
      <w:r>
        <w:rPr>
          <w:rFonts w:hint="eastAsia" w:ascii="仿宋" w:hAnsi="仿宋" w:eastAsia="仿宋" w:cs="新宋体"/>
          <w:sz w:val="28"/>
          <w:szCs w:val="28"/>
        </w:rPr>
        <w:t>开展业务培训和岗位练兵活动，提升队伍业务能力。制定业务培训和岗位练兵计划和实施方案；坚持定期培训制度；抓好岗位练兵评比竞赛。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5.</w:t>
      </w:r>
      <w:r>
        <w:rPr>
          <w:rFonts w:hint="eastAsia" w:ascii="仿宋" w:hAnsi="仿宋" w:eastAsia="仿宋" w:cs="新宋体"/>
          <w:sz w:val="28"/>
          <w:szCs w:val="28"/>
        </w:rPr>
        <w:t>探索精细化管理，加强岗位工作督查、值班管理、车辆管理等；治松、治散、治懒、治庸，提高工作效率、提升队伍形象，适时总结推广经验做法。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6.</w:t>
      </w:r>
      <w:r>
        <w:rPr>
          <w:rFonts w:hint="eastAsia" w:ascii="仿宋" w:hAnsi="仿宋" w:eastAsia="仿宋" w:cs="新宋体"/>
          <w:sz w:val="28"/>
          <w:szCs w:val="28"/>
        </w:rPr>
        <w:t>按现行编制，分步分批补充院机关和派驻检察室缺编人员。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7.</w:t>
      </w:r>
      <w:r>
        <w:rPr>
          <w:rFonts w:hint="eastAsia" w:ascii="仿宋" w:hAnsi="仿宋" w:eastAsia="仿宋" w:cs="新宋体"/>
          <w:sz w:val="28"/>
          <w:szCs w:val="28"/>
        </w:rPr>
        <w:t>贯彻高检院《意见》，协调落实派驻监管场所检察室主任的处级职务问题。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8.</w:t>
      </w:r>
      <w:r>
        <w:rPr>
          <w:rFonts w:hint="eastAsia" w:ascii="仿宋" w:hAnsi="仿宋" w:eastAsia="仿宋" w:cs="新宋体"/>
          <w:sz w:val="28"/>
          <w:szCs w:val="28"/>
        </w:rPr>
        <w:t>从优待警。注重干警身心关怀，努力为干警排忧解难，帮助干警解决实际问题，调动工作热情、增强凝聚力。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9.</w:t>
      </w:r>
      <w:r>
        <w:rPr>
          <w:rFonts w:hint="eastAsia" w:ascii="仿宋" w:hAnsi="仿宋" w:eastAsia="仿宋" w:cs="新宋体"/>
          <w:sz w:val="28"/>
          <w:szCs w:val="28"/>
        </w:rPr>
        <w:t>组织到各地派驻检察机构就规范化建设巡回观摩，组织赴外省市试点巡回检察先进单位观摩学习，交流探索工作体会，取长补短。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（二）检察业务工作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1.</w:t>
      </w:r>
      <w:r>
        <w:rPr>
          <w:rFonts w:hint="eastAsia" w:ascii="仿宋" w:hAnsi="仿宋" w:eastAsia="仿宋" w:cs="新宋体"/>
          <w:sz w:val="28"/>
          <w:szCs w:val="28"/>
        </w:rPr>
        <w:t>加强对刑罚执行的检察监督。开展减假暂专项检察活动，特别是对职务犯罪、涉黑犯罪、金融犯罪三类重点罪犯减刑、假释、暂予监外执行案件的监督，保证刑罚变更执行的合法、适当。</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2.</w:t>
      </w:r>
      <w:r>
        <w:rPr>
          <w:rFonts w:hint="eastAsia" w:ascii="仿宋" w:hAnsi="仿宋" w:eastAsia="仿宋" w:cs="新宋体"/>
          <w:sz w:val="28"/>
          <w:szCs w:val="28"/>
        </w:rPr>
        <w:t>加强监管活动检察监督。深入学习、劳动、生活“三大现场”及时检察发现和纠正问题，确保纠正违法正确率和监管单位落实率。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3.</w:t>
      </w:r>
      <w:r>
        <w:rPr>
          <w:rFonts w:hint="eastAsia" w:ascii="仿宋" w:hAnsi="仿宋" w:eastAsia="仿宋" w:cs="新宋体"/>
          <w:sz w:val="28"/>
          <w:szCs w:val="28"/>
        </w:rPr>
        <w:t>对监管场所罪犯又犯罪案件进行审查逮捕、审查起诉、出庭支持公诉。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4.</w:t>
      </w:r>
      <w:r>
        <w:rPr>
          <w:rFonts w:hint="eastAsia" w:ascii="仿宋" w:hAnsi="仿宋" w:eastAsia="仿宋" w:cs="新宋体"/>
          <w:sz w:val="28"/>
          <w:szCs w:val="28"/>
        </w:rPr>
        <w:t>办理上级院指定或交办我院审查起诉的刑事案件。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5.</w:t>
      </w:r>
      <w:r>
        <w:rPr>
          <w:rFonts w:hint="eastAsia" w:ascii="仿宋" w:hAnsi="仿宋" w:eastAsia="仿宋" w:cs="新宋体"/>
          <w:sz w:val="28"/>
          <w:szCs w:val="28"/>
        </w:rPr>
        <w:t>依法进行监管场所被监管人死亡检察工作。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6.</w:t>
      </w:r>
      <w:r>
        <w:rPr>
          <w:rFonts w:hint="eastAsia" w:ascii="仿宋" w:hAnsi="仿宋" w:eastAsia="仿宋" w:cs="新宋体"/>
          <w:sz w:val="28"/>
          <w:szCs w:val="28"/>
        </w:rPr>
        <w:t>加强对监狱实行巡回检察工作。组建巡回检察工作组，定期对所辖各监狱进行常规巡回检察、专门巡回检察、机动巡回检察、参加省院组织的交叉巡回检察。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7.</w:t>
      </w:r>
      <w:r>
        <w:rPr>
          <w:rFonts w:hint="eastAsia" w:ascii="仿宋" w:hAnsi="仿宋" w:eastAsia="仿宋" w:cs="新宋体"/>
          <w:sz w:val="28"/>
          <w:szCs w:val="28"/>
        </w:rPr>
        <w:t>加强安全防范，及时消除安全隐患，防止发生在押人员脱逃、非正常死亡、集体食物中毒、严重火灾等重大事故。结合党和国家重大活动和重大节假日，适时开展监管场所安全大检查及清监等专项活动。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8.</w:t>
      </w:r>
      <w:r>
        <w:rPr>
          <w:rFonts w:hint="eastAsia" w:ascii="仿宋" w:hAnsi="仿宋" w:eastAsia="仿宋" w:cs="新宋体"/>
          <w:sz w:val="28"/>
          <w:szCs w:val="28"/>
        </w:rPr>
        <w:t>结合检察监督、办案中发现的问题，举一反三，总结教训，探索研究，督促帮助监管单位建章立制抓好整改。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9.</w:t>
      </w:r>
      <w:r>
        <w:rPr>
          <w:rFonts w:hint="eastAsia" w:ascii="仿宋" w:hAnsi="仿宋" w:eastAsia="仿宋" w:cs="新宋体"/>
          <w:sz w:val="28"/>
          <w:szCs w:val="28"/>
        </w:rPr>
        <w:t>在监管场所动员深挖犯罪并主动摸查职务犯罪线索。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10.</w:t>
      </w:r>
      <w:r>
        <w:rPr>
          <w:rFonts w:hint="eastAsia" w:ascii="仿宋" w:hAnsi="仿宋" w:eastAsia="仿宋" w:cs="新宋体"/>
          <w:sz w:val="28"/>
          <w:szCs w:val="28"/>
        </w:rPr>
        <w:t>加强超期羁押检察，做好预警工作。确保实现无超期羁押、服刑逾期不释。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11.</w:t>
      </w:r>
      <w:r>
        <w:rPr>
          <w:rFonts w:hint="eastAsia" w:ascii="仿宋" w:hAnsi="仿宋" w:eastAsia="仿宋" w:cs="新宋体"/>
          <w:sz w:val="28"/>
          <w:szCs w:val="28"/>
        </w:rPr>
        <w:t>做好涉检信访工作，高质量完成上级交办的信访案件调查处理。开展清理涉监涉检信访积案专项活动，力争息诉罢访。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ascii="仿宋" w:hAnsi="仿宋" w:eastAsia="仿宋" w:cs="新宋体"/>
          <w:sz w:val="28"/>
          <w:szCs w:val="28"/>
        </w:rPr>
        <w:t>12.</w:t>
      </w:r>
      <w:r>
        <w:rPr>
          <w:rFonts w:hint="eastAsia" w:ascii="仿宋" w:hAnsi="仿宋" w:eastAsia="仿宋" w:cs="新宋体"/>
          <w:sz w:val="28"/>
          <w:szCs w:val="28"/>
        </w:rPr>
        <w:t>在监管场所协调开展“扫黑除恶”专项斗争。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（三）廉洁执法建设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1.</w:t>
      </w:r>
      <w:r>
        <w:rPr>
          <w:rFonts w:hint="eastAsia" w:ascii="仿宋" w:hAnsi="仿宋" w:eastAsia="仿宋" w:cs="新宋体"/>
          <w:sz w:val="28"/>
          <w:szCs w:val="28"/>
        </w:rPr>
        <w:t>有针对性地开展反腐倡廉、公正执法、敲警钟教育，每年择机组织一次到警示教育基地现场警示教育。</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2.</w:t>
      </w:r>
      <w:r>
        <w:rPr>
          <w:rFonts w:hint="eastAsia" w:ascii="仿宋" w:hAnsi="仿宋" w:eastAsia="仿宋" w:cs="新宋体"/>
          <w:sz w:val="28"/>
          <w:szCs w:val="28"/>
        </w:rPr>
        <w:t>结合实际进行经常性针对性教育，开展自查自纠、党内批评与自我批评、谈心思想互助活动，并结合发现的问题苗头及时进行个别诫勉谈话。</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3.</w:t>
      </w:r>
      <w:r>
        <w:rPr>
          <w:rFonts w:hint="eastAsia" w:ascii="仿宋" w:hAnsi="仿宋" w:eastAsia="仿宋" w:cs="新宋体"/>
          <w:sz w:val="28"/>
          <w:szCs w:val="28"/>
        </w:rPr>
        <w:t>结合刑执检察工作实际，建立健全执法档案、“阳光检务”等制度和措施。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4.</w:t>
      </w:r>
      <w:r>
        <w:rPr>
          <w:rFonts w:hint="eastAsia" w:ascii="仿宋" w:hAnsi="仿宋" w:eastAsia="仿宋" w:cs="新宋体"/>
          <w:sz w:val="28"/>
          <w:szCs w:val="28"/>
        </w:rPr>
        <w:t>建设检务公开大厅，向社会各界开放。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5.</w:t>
      </w:r>
      <w:r>
        <w:rPr>
          <w:rFonts w:hint="eastAsia" w:ascii="仿宋" w:hAnsi="仿宋" w:eastAsia="仿宋" w:cs="新宋体"/>
          <w:sz w:val="28"/>
          <w:szCs w:val="28"/>
        </w:rPr>
        <w:t>做好党员干部廉政守纪签约、廉政承诺公示、廉政情况公开、领导干部述职述廉工作。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6.</w:t>
      </w:r>
      <w:r>
        <w:rPr>
          <w:rFonts w:hint="eastAsia" w:ascii="仿宋" w:hAnsi="仿宋" w:eastAsia="仿宋" w:cs="新宋体"/>
          <w:sz w:val="28"/>
          <w:szCs w:val="28"/>
        </w:rPr>
        <w:t>全面落实执法办案内部监督和执法过错责任追究制度。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7.</w:t>
      </w:r>
      <w:r>
        <w:rPr>
          <w:rFonts w:hint="eastAsia" w:ascii="仿宋" w:hAnsi="仿宋" w:eastAsia="仿宋" w:cs="新宋体"/>
          <w:sz w:val="28"/>
          <w:szCs w:val="28"/>
        </w:rPr>
        <w:t>建立健全检察环节执法办案风险评估工作机制，并签署责任状。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8.</w:t>
      </w:r>
      <w:r>
        <w:rPr>
          <w:rFonts w:hint="eastAsia" w:ascii="仿宋" w:hAnsi="仿宋" w:eastAsia="仿宋" w:cs="新宋体"/>
          <w:sz w:val="28"/>
          <w:szCs w:val="28"/>
        </w:rPr>
        <w:t>加强对办案人员的监督、教育和管理，加大检务督察力度，及时查处违纪违法案件。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9.</w:t>
      </w:r>
      <w:r>
        <w:rPr>
          <w:rFonts w:hint="eastAsia" w:ascii="仿宋" w:hAnsi="仿宋" w:eastAsia="仿宋" w:cs="新宋体"/>
          <w:sz w:val="28"/>
          <w:szCs w:val="28"/>
        </w:rPr>
        <w:t>主动接受各方监督。邀请相关领导机关、人大代表、政协委员、人民监督员等到冀东院及各检察室巡视检查指导，虚心征求社会各界对监所检察工作的意见和建议。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ascii="仿宋" w:hAnsi="仿宋" w:eastAsia="仿宋" w:cs="新宋体"/>
          <w:sz w:val="28"/>
          <w:szCs w:val="28"/>
        </w:rPr>
        <w:t>10.</w:t>
      </w:r>
      <w:r>
        <w:rPr>
          <w:rFonts w:hint="eastAsia" w:ascii="仿宋" w:hAnsi="仿宋" w:eastAsia="仿宋" w:cs="新宋体"/>
          <w:sz w:val="28"/>
          <w:szCs w:val="28"/>
        </w:rPr>
        <w:t>采取向监管单位发函、深入监管单位座谈走访、开展问卷调查等形式，调查了解派驻检察人员的执法及工作作风表现，征求评价性意见，并结合调查结果进行点评，促进转变作风。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（四）加强检务保障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1.做好常态化下疫情防控工作，确保干警工作环境安全。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2.加强资产的采购、使用、管理，确保账物相符。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hint="eastAsia" w:ascii="仿宋" w:hAnsi="仿宋" w:eastAsia="仿宋" w:cs="新宋体"/>
          <w:sz w:val="28"/>
          <w:szCs w:val="28"/>
        </w:rPr>
        <w:t>3</w:t>
      </w:r>
      <w:r>
        <w:rPr>
          <w:rFonts w:ascii="仿宋" w:hAnsi="仿宋" w:eastAsia="仿宋" w:cs="新宋体"/>
          <w:sz w:val="28"/>
          <w:szCs w:val="28"/>
        </w:rPr>
        <w:t>.</w:t>
      </w:r>
      <w:r>
        <w:rPr>
          <w:rFonts w:hint="eastAsia" w:ascii="仿宋" w:hAnsi="仿宋" w:eastAsia="仿宋" w:cs="新宋体"/>
          <w:sz w:val="28"/>
          <w:szCs w:val="28"/>
        </w:rPr>
        <w:t>修订完善相关制度规定，设置制度、职责上墙。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hint="eastAsia" w:ascii="仿宋" w:hAnsi="仿宋" w:eastAsia="仿宋" w:cs="新宋体"/>
          <w:sz w:val="28"/>
          <w:szCs w:val="28"/>
        </w:rPr>
        <w:t>4</w:t>
      </w:r>
      <w:r>
        <w:rPr>
          <w:rFonts w:ascii="仿宋" w:hAnsi="仿宋" w:eastAsia="仿宋" w:cs="新宋体"/>
          <w:sz w:val="28"/>
          <w:szCs w:val="28"/>
        </w:rPr>
        <w:t>.</w:t>
      </w:r>
      <w:r>
        <w:rPr>
          <w:rFonts w:hint="eastAsia" w:ascii="仿宋" w:hAnsi="仿宋" w:eastAsia="仿宋" w:cs="新宋体"/>
          <w:sz w:val="28"/>
          <w:szCs w:val="28"/>
        </w:rPr>
        <w:t>按照监所检察办法规范要求，及时准确做好监所检察登记统计工作。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hint="eastAsia" w:ascii="仿宋" w:hAnsi="仿宋" w:eastAsia="仿宋" w:cs="新宋体"/>
          <w:sz w:val="28"/>
          <w:szCs w:val="28"/>
        </w:rPr>
        <w:t>5</w:t>
      </w:r>
      <w:r>
        <w:rPr>
          <w:rFonts w:ascii="仿宋" w:hAnsi="仿宋" w:eastAsia="仿宋" w:cs="新宋体"/>
          <w:sz w:val="28"/>
          <w:szCs w:val="28"/>
        </w:rPr>
        <w:t>.</w:t>
      </w:r>
      <w:r>
        <w:rPr>
          <w:rFonts w:hint="eastAsia" w:ascii="仿宋" w:hAnsi="仿宋" w:eastAsia="仿宋" w:cs="新宋体"/>
          <w:sz w:val="28"/>
          <w:szCs w:val="28"/>
        </w:rPr>
        <w:t>按计划做好南堡监管安全防控中心综合基地、刑事执行检察信息化指挥中心建设工作。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hint="eastAsia" w:ascii="仿宋" w:hAnsi="仿宋" w:eastAsia="仿宋" w:cs="新宋体"/>
          <w:sz w:val="28"/>
          <w:szCs w:val="28"/>
        </w:rPr>
        <w:t>6</w:t>
      </w:r>
      <w:r>
        <w:rPr>
          <w:rFonts w:ascii="仿宋" w:hAnsi="仿宋" w:eastAsia="仿宋" w:cs="新宋体"/>
          <w:sz w:val="28"/>
          <w:szCs w:val="28"/>
        </w:rPr>
        <w:t>.</w:t>
      </w:r>
      <w:r>
        <w:rPr>
          <w:rFonts w:hint="eastAsia" w:ascii="仿宋" w:hAnsi="仿宋" w:eastAsia="仿宋" w:cs="新宋体"/>
          <w:sz w:val="28"/>
          <w:szCs w:val="28"/>
        </w:rPr>
        <w:t>加强信息、调研、报道工作。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sz w:val="28"/>
          <w:szCs w:val="28"/>
        </w:rPr>
      </w:pPr>
      <w:r>
        <w:rPr>
          <w:rFonts w:hint="eastAsia" w:ascii="仿宋" w:hAnsi="仿宋" w:eastAsia="仿宋" w:cs="新宋体"/>
          <w:sz w:val="28"/>
          <w:szCs w:val="28"/>
        </w:rPr>
        <w:t>7</w:t>
      </w:r>
      <w:r>
        <w:rPr>
          <w:rFonts w:ascii="仿宋" w:hAnsi="仿宋" w:eastAsia="仿宋" w:cs="新宋体"/>
          <w:sz w:val="28"/>
          <w:szCs w:val="28"/>
        </w:rPr>
        <w:t>.</w:t>
      </w:r>
      <w:r>
        <w:rPr>
          <w:rFonts w:hint="eastAsia" w:ascii="仿宋" w:hAnsi="仿宋" w:eastAsia="仿宋" w:cs="新宋体"/>
          <w:sz w:val="28"/>
          <w:szCs w:val="28"/>
        </w:rPr>
        <w:t>加强检察室规范化建设，按照高检院评定二级以上规范化标准，配置相关设施器材，并美化检察室环境建设，使相关制度、检务公开内容、文化格言警句上墙，做到整洁、卫生、美观，营造良好环境氛围和职业感染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b/>
          <w:bCs/>
          <w:sz w:val="28"/>
          <w:szCs w:val="28"/>
        </w:rPr>
      </w:pPr>
      <w:r>
        <w:rPr>
          <w:rFonts w:hint="eastAsia" w:ascii="仿宋" w:hAnsi="仿宋" w:eastAsia="仿宋" w:cs="新宋体"/>
          <w:sz w:val="28"/>
          <w:szCs w:val="28"/>
        </w:rPr>
        <w:t>8</w:t>
      </w:r>
      <w:r>
        <w:rPr>
          <w:rFonts w:ascii="仿宋" w:hAnsi="仿宋" w:eastAsia="仿宋" w:cs="新宋体"/>
          <w:sz w:val="28"/>
          <w:szCs w:val="28"/>
        </w:rPr>
        <w:t>.</w:t>
      </w:r>
      <w:r>
        <w:rPr>
          <w:rFonts w:hint="eastAsia" w:ascii="仿宋" w:hAnsi="仿宋" w:eastAsia="仿宋" w:cs="新宋体"/>
          <w:sz w:val="28"/>
          <w:szCs w:val="28"/>
        </w:rPr>
        <w:t>完善信息共享、动态监控网络设施建设，实现动态监督。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firstLineChars="200"/>
        <w:rPr>
          <w:rFonts w:ascii="仿宋" w:hAnsi="仿宋" w:eastAsia="仿宋" w:cs="新宋体"/>
          <w:sz w:val="28"/>
          <w:szCs w:val="28"/>
        </w:rPr>
      </w:pPr>
      <w:r>
        <w:rPr>
          <w:rFonts w:hint="eastAsia" w:ascii="仿宋" w:hAnsi="仿宋" w:eastAsia="仿宋" w:cs="新宋体"/>
          <w:sz w:val="28"/>
          <w:szCs w:val="28"/>
        </w:rPr>
        <w:t>9</w:t>
      </w:r>
      <w:r>
        <w:rPr>
          <w:rFonts w:ascii="仿宋" w:hAnsi="仿宋" w:eastAsia="仿宋" w:cs="新宋体"/>
          <w:sz w:val="28"/>
          <w:szCs w:val="28"/>
        </w:rPr>
        <w:t>.</w:t>
      </w:r>
      <w:r>
        <w:rPr>
          <w:rFonts w:hint="eastAsia" w:ascii="仿宋" w:hAnsi="仿宋" w:eastAsia="仿宋" w:cs="新宋体"/>
          <w:sz w:val="28"/>
          <w:szCs w:val="28"/>
        </w:rPr>
        <w:t>协调落实财政对派驻监管场所检察人员的相关补贴。</w:t>
      </w:r>
    </w:p>
    <w:p>
      <w:pPr>
        <w:ind w:firstLine="560" w:firstLineChars="200"/>
        <w:rPr>
          <w:rFonts w:ascii="仿宋" w:hAnsi="仿宋" w:eastAsia="仿宋"/>
          <w:sz w:val="28"/>
          <w:szCs w:val="28"/>
        </w:rPr>
      </w:pPr>
      <w:r>
        <w:rPr>
          <w:rFonts w:hint="eastAsia" w:ascii="仿宋" w:hAnsi="仿宋" w:eastAsia="仿宋" w:cs="新宋体"/>
          <w:sz w:val="28"/>
          <w:szCs w:val="28"/>
        </w:rPr>
        <w:t>10</w:t>
      </w:r>
      <w:r>
        <w:rPr>
          <w:rFonts w:ascii="仿宋" w:hAnsi="仿宋" w:eastAsia="仿宋" w:cs="新宋体"/>
          <w:sz w:val="28"/>
          <w:szCs w:val="28"/>
        </w:rPr>
        <w:t>.</w:t>
      </w:r>
      <w:r>
        <w:rPr>
          <w:rFonts w:hint="eastAsia" w:ascii="仿宋" w:hAnsi="仿宋" w:eastAsia="仿宋" w:cs="新宋体"/>
          <w:sz w:val="28"/>
          <w:szCs w:val="28"/>
        </w:rPr>
        <w:t>探索完善本院年度各项目开支科学化、节约化管理；保障本院各处室经费、车辆、油料、办公消耗品等工作，做好后勤保障工作。</w:t>
      </w:r>
    </w:p>
    <w:p>
      <w:pPr>
        <w:tabs>
          <w:tab w:val="left" w:pos="975"/>
        </w:tabs>
        <w:rPr>
          <w:rFonts w:ascii="仿宋" w:hAnsi="仿宋" w:eastAsia="仿宋"/>
          <w:sz w:val="28"/>
          <w:szCs w:val="28"/>
        </w:rPr>
      </w:pPr>
      <w:r>
        <w:rPr>
          <w:rFonts w:ascii="仿宋" w:hAnsi="仿宋" w:eastAsia="仿宋"/>
          <w:sz w:val="28"/>
          <w:szCs w:val="28"/>
        </w:rPr>
        <w:tab/>
      </w:r>
    </w:p>
    <w:p>
      <w:pPr>
        <w:spacing w:line="360" w:lineRule="auto"/>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11"/>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rPr>
                <w:rFonts w:ascii="黑体" w:eastAsia="黑体"/>
                <w:b/>
              </w:rPr>
            </w:pPr>
            <w:r>
              <w:rPr>
                <w:rFonts w:ascii="宋体" w:hAnsi="宋体"/>
                <w:sz w:val="28"/>
              </w:rPr>
              <w:t>305003唐山市冀东地区人民检察院</w:t>
            </w:r>
          </w:p>
        </w:tc>
        <w:tc>
          <w:tcPr>
            <w:tcW w:w="3022" w:type="dxa"/>
            <w:tcBorders>
              <w:bottom w:val="single" w:color="auto" w:sz="4" w:space="0"/>
            </w:tcBorders>
            <w:shd w:val="clear" w:color="auto" w:fill="auto"/>
            <w:noWrap/>
            <w:vAlign w:val="center"/>
          </w:tcPr>
          <w:p>
            <w:pPr>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624"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Arial"/>
                <w:b/>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Arial"/>
                <w:b/>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Arial"/>
                <w:b/>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430"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rPr>
            </w:pPr>
          </w:p>
        </w:tc>
      </w:tr>
      <w:tr>
        <w:tblPrEx>
          <w:tblCellMar>
            <w:top w:w="0" w:type="dxa"/>
            <w:left w:w="108" w:type="dxa"/>
            <w:bottom w:w="0" w:type="dxa"/>
            <w:right w:w="108" w:type="dxa"/>
          </w:tblCellMar>
        </w:tblPrEx>
        <w:trPr>
          <w:cantSplit/>
          <w:trHeight w:val="453"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1072.46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1072.46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905.16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167.3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1072.46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737.36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737.26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0.1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335.1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167.8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167.3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bl>
    <w:p>
      <w:pPr>
        <w:spacing w:line="20" w:lineRule="exact"/>
      </w:pPr>
    </w:p>
    <w:p>
      <w:pPr>
        <w:spacing w:line="360" w:lineRule="auto"/>
        <w:rPr>
          <w:rFonts w:ascii="宋体" w:hAnsi="宋体" w:eastAsia="宋体"/>
          <w:b/>
          <w:color w:val="000000"/>
          <w:sz w:val="28"/>
        </w:rPr>
        <w:sectPr>
          <w:headerReference r:id="rId11" w:type="default"/>
          <w:pgSz w:w="11906" w:h="16838"/>
          <w:pgMar w:top="1440" w:right="1800" w:bottom="1440" w:left="180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单位人员经费支出安排表</w:t>
      </w:r>
    </w:p>
    <w:tbl>
      <w:tblPr>
        <w:tblStyle w:val="11"/>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rPr>
                <w:rFonts w:ascii="宋体" w:hAnsi="宋体" w:cs="宋体"/>
                <w:color w:val="000000"/>
                <w:sz w:val="28"/>
                <w:szCs w:val="28"/>
              </w:rPr>
            </w:pPr>
            <w:r>
              <w:rPr>
                <w:rFonts w:ascii="宋体" w:hAnsi="宋体" w:cs="宋体"/>
                <w:color w:val="000000"/>
                <w:sz w:val="28"/>
                <w:szCs w:val="28"/>
              </w:rPr>
              <w:t>305003唐山市冀东地区人民检察院</w:t>
            </w:r>
          </w:p>
        </w:tc>
        <w:tc>
          <w:tcPr>
            <w:tcW w:w="3115" w:type="dxa"/>
            <w:gridSpan w:val="3"/>
            <w:tcBorders>
              <w:top w:val="nil"/>
              <w:left w:val="nil"/>
              <w:bottom w:val="single" w:color="auto" w:sz="4" w:space="0"/>
              <w:right w:val="nil"/>
            </w:tcBorders>
            <w:shd w:val="clear" w:color="auto" w:fill="auto"/>
            <w:noWrap/>
            <w:vAlign w:val="bottom"/>
          </w:tcPr>
          <w:p>
            <w:pPr>
              <w:jc w:val="right"/>
              <w:rPr>
                <w:rFonts w:ascii="宋体" w:hAnsi="宋体" w:cs="宋体"/>
                <w:color w:val="000000"/>
                <w:sz w:val="28"/>
                <w:szCs w:val="28"/>
              </w:rPr>
            </w:pPr>
            <w:r>
              <w:rPr>
                <w:rFonts w:hint="eastAsia" w:ascii="宋体" w:hAnsi="宋体" w:cs="宋体"/>
                <w:color w:val="00000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 费 来 源</w:t>
            </w:r>
          </w:p>
        </w:tc>
      </w:tr>
      <w:tr>
        <w:tblPrEx>
          <w:tblCellMar>
            <w:top w:w="0" w:type="dxa"/>
            <w:left w:w="108" w:type="dxa"/>
            <w:bottom w:w="0" w:type="dxa"/>
            <w:right w:w="108" w:type="dxa"/>
          </w:tblCellMar>
        </w:tblPrEx>
        <w:trPr>
          <w:cantSplit/>
          <w:trHeight w:val="624"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高中及其以上教育收费</w:t>
            </w: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737.36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737.36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737.26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737.26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241.39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241.39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278.62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278.62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75.62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75.62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113.44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113.44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40.90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40.90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35.87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35.87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0.02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0.02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0.02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0.02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20.12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143.06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143.06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72.09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72.09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31.54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31.54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36.05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36.05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54.07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54.07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bl>
    <w:p/>
    <w:p>
      <w:pPr>
        <w:spacing w:line="360" w:lineRule="auto"/>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单位正常公用经费支出安排表</w:t>
      </w:r>
    </w:p>
    <w:tbl>
      <w:tblPr>
        <w:tblStyle w:val="11"/>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rPr>
                <w:rFonts w:ascii="宋体" w:hAnsi="宋体" w:cs="宋体"/>
                <w:color w:val="000000"/>
                <w:sz w:val="28"/>
                <w:szCs w:val="28"/>
              </w:rPr>
            </w:pPr>
            <w:r>
              <w:rPr>
                <w:rFonts w:ascii="宋体" w:hAnsi="宋体" w:cs="宋体"/>
                <w:color w:val="000000"/>
                <w:sz w:val="28"/>
                <w:szCs w:val="28"/>
              </w:rPr>
              <w:t>305003唐山市冀东地区人民检察院</w:t>
            </w:r>
          </w:p>
        </w:tc>
        <w:tc>
          <w:tcPr>
            <w:tcW w:w="3115" w:type="dxa"/>
            <w:gridSpan w:val="3"/>
            <w:tcBorders>
              <w:top w:val="nil"/>
              <w:left w:val="nil"/>
              <w:bottom w:val="single" w:color="auto" w:sz="4" w:space="0"/>
              <w:right w:val="nil"/>
            </w:tcBorders>
            <w:shd w:val="clear" w:color="auto" w:fill="auto"/>
            <w:noWrap/>
            <w:vAlign w:val="bottom"/>
          </w:tcPr>
          <w:p>
            <w:pPr>
              <w:jc w:val="right"/>
              <w:rPr>
                <w:rFonts w:ascii="宋体" w:hAnsi="宋体" w:cs="宋体"/>
                <w:color w:val="000000"/>
                <w:sz w:val="28"/>
                <w:szCs w:val="28"/>
              </w:rPr>
            </w:pPr>
            <w:r>
              <w:rPr>
                <w:rFonts w:hint="eastAsia" w:ascii="宋体" w:hAnsi="宋体" w:cs="宋体"/>
                <w:color w:val="00000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 费 来 源</w:t>
            </w:r>
          </w:p>
        </w:tc>
      </w:tr>
      <w:tr>
        <w:tblPrEx>
          <w:tblCellMar>
            <w:top w:w="0" w:type="dxa"/>
            <w:left w:w="108" w:type="dxa"/>
            <w:bottom w:w="0" w:type="dxa"/>
            <w:right w:w="108" w:type="dxa"/>
          </w:tblCellMar>
        </w:tblPrEx>
        <w:trPr>
          <w:cantSplit/>
          <w:trHeight w:val="624"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高中及其以上教育收费</w:t>
            </w: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167.80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167.80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150.63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150.63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6.49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6.49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34.46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34.46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26.27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26.27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27.90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27.90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38.50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38.50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39.56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39.56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bl>
    <w:p/>
    <w:p>
      <w:pPr>
        <w:spacing w:line="360" w:lineRule="auto"/>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11"/>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rPr>
                <w:rFonts w:ascii="宋体" w:hAnsi="宋体" w:cs="宋体"/>
                <w:color w:val="000000"/>
                <w:sz w:val="28"/>
                <w:szCs w:val="28"/>
              </w:rPr>
            </w:pPr>
            <w:r>
              <w:rPr>
                <w:rFonts w:ascii="宋体" w:hAnsi="宋体" w:cs="宋体"/>
                <w:color w:val="000000"/>
                <w:sz w:val="28"/>
                <w:szCs w:val="28"/>
              </w:rPr>
              <w:t>305003唐山市冀东地区人民检察院</w:t>
            </w:r>
          </w:p>
        </w:tc>
        <w:tc>
          <w:tcPr>
            <w:tcW w:w="4020" w:type="dxa"/>
            <w:gridSpan w:val="4"/>
            <w:tcBorders>
              <w:top w:val="nil"/>
              <w:left w:val="nil"/>
              <w:bottom w:val="single" w:color="auto" w:sz="4" w:space="0"/>
              <w:right w:val="nil"/>
            </w:tcBorders>
            <w:shd w:val="clear" w:color="auto" w:fill="auto"/>
            <w:noWrap/>
            <w:vAlign w:val="bottom"/>
          </w:tcPr>
          <w:p>
            <w:pPr>
              <w:jc w:val="right"/>
              <w:rPr>
                <w:rFonts w:ascii="宋体" w:hAnsi="宋体" w:cs="宋体"/>
                <w:color w:val="000000"/>
                <w:sz w:val="28"/>
                <w:szCs w:val="28"/>
              </w:rPr>
            </w:pPr>
            <w:r>
              <w:rPr>
                <w:rFonts w:hint="eastAsia" w:ascii="宋体" w:hAnsi="宋体" w:cs="宋体"/>
                <w:color w:val="00000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Arial"/>
                <w:b/>
                <w:bCs/>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经费来源</w:t>
            </w:r>
          </w:p>
        </w:tc>
      </w:tr>
      <w:tr>
        <w:tblPrEx>
          <w:tblCellMar>
            <w:top w:w="0" w:type="dxa"/>
            <w:left w:w="108" w:type="dxa"/>
            <w:bottom w:w="0" w:type="dxa"/>
            <w:right w:w="108" w:type="dxa"/>
          </w:tblCellMar>
        </w:tblPrEx>
        <w:trPr>
          <w:cantSplit/>
          <w:trHeight w:val="624"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高中及其以上教育收费</w:t>
            </w:r>
          </w:p>
        </w:tc>
      </w:tr>
      <w:tr>
        <w:tblPrEx>
          <w:tblCellMar>
            <w:top w:w="0" w:type="dxa"/>
            <w:left w:w="108" w:type="dxa"/>
            <w:bottom w:w="0" w:type="dxa"/>
            <w:right w:w="108" w:type="dxa"/>
          </w:tblCellMar>
        </w:tblPrEx>
        <w:trPr>
          <w:cantSplit/>
          <w:trHeight w:val="485"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485"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40.17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40.17</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38.50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38.50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38.50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38.50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1.67</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4.30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4.30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44.47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44.47</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360" w:lineRule="auto"/>
        <w:rPr>
          <w:rFonts w:ascii="宋体" w:hAnsi="宋体" w:eastAsia="宋体"/>
          <w:b/>
          <w:color w:val="000000"/>
          <w:sz w:val="28"/>
        </w:rPr>
        <w:sectPr>
          <w:headerReference r:id="rId12"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11"/>
        <w:tblW w:w="14139" w:type="dxa"/>
        <w:tblInd w:w="93" w:type="dxa"/>
        <w:tblLayout w:type="autofit"/>
        <w:tblCellMar>
          <w:top w:w="0" w:type="dxa"/>
          <w:left w:w="108" w:type="dxa"/>
          <w:bottom w:w="0" w:type="dxa"/>
          <w:right w:w="108" w:type="dxa"/>
        </w:tblCellMar>
      </w:tblPr>
      <w:tblGrid>
        <w:gridCol w:w="1767"/>
        <w:gridCol w:w="1767"/>
        <w:gridCol w:w="1767"/>
        <w:gridCol w:w="1767"/>
        <w:gridCol w:w="1767"/>
        <w:gridCol w:w="1769"/>
        <w:gridCol w:w="1767"/>
        <w:gridCol w:w="1768"/>
      </w:tblGrid>
      <w:tr>
        <w:tblPrEx>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shd w:val="clear" w:color="auto" w:fill="auto"/>
            <w:noWrap/>
            <w:vAlign w:val="bottom"/>
          </w:tcPr>
          <w:p>
            <w:pPr>
              <w:rPr>
                <w:rFonts w:ascii="宋体" w:hAnsi="宋体" w:cs="宋体"/>
                <w:color w:val="000000"/>
                <w:sz w:val="28"/>
                <w:szCs w:val="28"/>
              </w:rPr>
            </w:pPr>
            <w:r>
              <w:rPr>
                <w:rFonts w:ascii="宋体" w:hAnsi="宋体" w:cs="宋体"/>
                <w:color w:val="000000"/>
                <w:sz w:val="28"/>
                <w:szCs w:val="28"/>
              </w:rPr>
              <w:t>305003唐山市冀东地区人民检察院</w:t>
            </w:r>
          </w:p>
        </w:tc>
        <w:tc>
          <w:tcPr>
            <w:tcW w:w="3535" w:type="dxa"/>
            <w:gridSpan w:val="2"/>
            <w:tcBorders>
              <w:top w:val="nil"/>
              <w:left w:val="nil"/>
              <w:bottom w:val="single" w:color="auto" w:sz="4" w:space="0"/>
              <w:right w:val="nil"/>
            </w:tcBorders>
            <w:shd w:val="clear" w:color="auto" w:fill="auto"/>
            <w:noWrap/>
            <w:vAlign w:val="bottom"/>
          </w:tcPr>
          <w:p>
            <w:pPr>
              <w:jc w:val="right"/>
              <w:rPr>
                <w:rFonts w:ascii="宋体" w:hAnsi="宋体" w:cs="宋体"/>
                <w:color w:val="000000"/>
                <w:sz w:val="28"/>
                <w:szCs w:val="28"/>
              </w:rPr>
            </w:pPr>
            <w:r>
              <w:rPr>
                <w:rFonts w:hint="eastAsia" w:ascii="宋体" w:hAnsi="宋体" w:cs="宋体"/>
                <w:color w:val="000000"/>
                <w:sz w:val="28"/>
                <w:szCs w:val="28"/>
              </w:rPr>
              <w:t>单位：万元</w:t>
            </w:r>
          </w:p>
        </w:tc>
      </w:tr>
      <w:tr>
        <w:tblPrEx>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经 费 来 源</w:t>
            </w:r>
          </w:p>
        </w:tc>
      </w:tr>
      <w:tr>
        <w:tblPrEx>
          <w:tblCellMar>
            <w:top w:w="0" w:type="dxa"/>
            <w:left w:w="108" w:type="dxa"/>
            <w:bottom w:w="0" w:type="dxa"/>
            <w:right w:w="108" w:type="dxa"/>
          </w:tblCellMar>
        </w:tblPrEx>
        <w:trPr>
          <w:cantSplit/>
          <w:trHeight w:val="485"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黑体" w:hAnsi="黑体" w:eastAsia="黑体" w:cs="宋体"/>
                <w:b/>
                <w:bCs/>
                <w:color w:val="000000"/>
                <w:szCs w:val="21"/>
              </w:rPr>
              <w:t>高中及其以上教育收费</w:t>
            </w:r>
          </w:p>
        </w:tc>
      </w:tr>
      <w:tr>
        <w:tblPrEx>
          <w:tblCellMar>
            <w:top w:w="0" w:type="dxa"/>
            <w:left w:w="108" w:type="dxa"/>
            <w:bottom w:w="0" w:type="dxa"/>
            <w:right w:w="108" w:type="dxa"/>
          </w:tblCellMar>
        </w:tblPrEx>
        <w:trPr>
          <w:cantSplit/>
          <w:trHeight w:val="485"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485" w:hRule="atLeast"/>
          <w:tblHeader/>
        </w:trPr>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专项公用经费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167.30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167.30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冀东院办公家具购置</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2.10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2.10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冀东院业务装备购置</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1.10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冀东院监管安全防控中心（原办案基地）维护、修缮改造、绿化</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冀东院业务维修费及办公用房改造</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冀东院网络运行维护保养及设备更新</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23.10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23.10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冀东院印刷费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冀东院房屋租赁费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冀东院资料费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援疆费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冀东院办案业务费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52.00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52.00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冀东院检察室规范化建设</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43.00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43.00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bl>
    <w:p/>
    <w:p>
      <w:pPr>
        <w:spacing w:line="360" w:lineRule="auto"/>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1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rPr>
                <w:rFonts w:ascii="黑体" w:eastAsia="黑体"/>
                <w:b/>
              </w:rPr>
            </w:pPr>
            <w:r>
              <w:rPr>
                <w:rFonts w:ascii="宋体" w:hAnsi="宋体"/>
                <w:sz w:val="28"/>
              </w:rPr>
              <w:t>305003唐山市冀东地区人民检察院</w:t>
            </w:r>
          </w:p>
        </w:tc>
        <w:tc>
          <w:tcPr>
            <w:tcW w:w="1643" w:type="dxa"/>
            <w:gridSpan w:val="2"/>
            <w:tcBorders>
              <w:top w:val="nil"/>
              <w:left w:val="nil"/>
              <w:right w:val="nil"/>
            </w:tcBorders>
            <w:shd w:val="clear" w:color="auto" w:fill="auto"/>
            <w:noWrap/>
            <w:vAlign w:val="center"/>
          </w:tcPr>
          <w:p>
            <w:pPr>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624"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624"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485"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62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55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55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55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p>
        </w:tc>
      </w:tr>
    </w:tbl>
    <w:p/>
    <w:p>
      <w:pPr>
        <w:spacing w:line="360" w:lineRule="auto"/>
        <w:rPr>
          <w:rFonts w:ascii="宋体" w:hAnsi="宋体" w:eastAsia="宋体"/>
          <w:b/>
          <w:color w:val="000000"/>
          <w:sz w:val="28"/>
        </w:rPr>
        <w:sectPr>
          <w:headerReference r:id="rId13"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11"/>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rPr>
                <w:rFonts w:ascii="黑体" w:hAnsi="黑体" w:eastAsia="黑体" w:cs="宋体"/>
                <w:b/>
                <w:bCs/>
                <w:color w:val="000000"/>
                <w:szCs w:val="21"/>
              </w:rPr>
            </w:pPr>
            <w:r>
              <w:rPr>
                <w:rFonts w:ascii="宋体" w:hAnsi="宋体"/>
                <w:sz w:val="28"/>
              </w:rPr>
              <w:t>305003唐山市冀东地区人民检察院</w:t>
            </w:r>
          </w:p>
        </w:tc>
      </w:tr>
      <w:tr>
        <w:tblPrEx>
          <w:tblCellMar>
            <w:top w:w="0" w:type="dxa"/>
            <w:left w:w="108" w:type="dxa"/>
            <w:bottom w:w="0" w:type="dxa"/>
            <w:right w:w="108" w:type="dxa"/>
          </w:tblCellMar>
        </w:tblPrEx>
        <w:trPr>
          <w:cantSplit/>
          <w:trHeight w:val="624"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备  注</w:t>
            </w:r>
          </w:p>
        </w:tc>
      </w:tr>
      <w:tr>
        <w:tblPrEx>
          <w:tblCellMar>
            <w:top w:w="0" w:type="dxa"/>
            <w:left w:w="108" w:type="dxa"/>
            <w:bottom w:w="0" w:type="dxa"/>
            <w:right w:w="108" w:type="dxa"/>
          </w:tblCellMar>
        </w:tblPrEx>
        <w:trPr>
          <w:cantSplit/>
          <w:trHeight w:val="624"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r>
      <w:tr>
        <w:tblPrEx>
          <w:tblCellMar>
            <w:top w:w="0" w:type="dxa"/>
            <w:left w:w="108" w:type="dxa"/>
            <w:bottom w:w="0" w:type="dxa"/>
            <w:right w:w="108" w:type="dxa"/>
          </w:tblCellMar>
        </w:tblPrEx>
        <w:trPr>
          <w:cantSplit/>
          <w:trHeight w:val="485"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行政机关</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62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55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55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bl>
    <w:p/>
    <w:p>
      <w:pPr>
        <w:spacing w:line="360" w:lineRule="auto"/>
        <w:rPr>
          <w:rFonts w:ascii="宋体" w:hAnsi="宋体" w:eastAsia="宋体"/>
          <w:b/>
          <w:color w:val="000000"/>
          <w:sz w:val="28"/>
        </w:rPr>
        <w:sectPr>
          <w:headerReference r:id="rId14"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唐山市冀东地区人民检察院收支预算说明</w:t>
      </w:r>
    </w:p>
    <w:p>
      <w:pPr>
        <w:spacing w:line="480" w:lineRule="auto"/>
        <w:rPr>
          <w:rFonts w:ascii="宋体" w:hAnsi="宋体" w:eastAsia="宋体"/>
          <w:b/>
          <w:color w:val="000000"/>
          <w:sz w:val="28"/>
        </w:rPr>
      </w:pPr>
      <w:r>
        <w:rPr>
          <w:rFonts w:ascii="宋体" w:hAnsi="宋体" w:eastAsia="宋体"/>
          <w:b/>
          <w:color w:val="000000"/>
          <w:sz w:val="28"/>
        </w:rPr>
        <w:t>一、收入预算说明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80" w:firstLineChars="200"/>
        <w:rPr>
          <w:rFonts w:ascii="宋体" w:hAnsi="宋体"/>
          <w:sz w:val="24"/>
          <w:szCs w:val="24"/>
        </w:rPr>
      </w:pPr>
      <w:r>
        <w:rPr>
          <w:rFonts w:ascii="宋体" w:hAnsi="宋体"/>
          <w:sz w:val="24"/>
          <w:szCs w:val="24"/>
        </w:rPr>
        <w:t>20</w:t>
      </w:r>
      <w:r>
        <w:rPr>
          <w:rFonts w:hint="eastAsia" w:ascii="宋体" w:hAnsi="宋体"/>
          <w:sz w:val="24"/>
          <w:szCs w:val="24"/>
        </w:rPr>
        <w:t>22</w:t>
      </w:r>
      <w:r>
        <w:rPr>
          <w:rFonts w:hint="eastAsia" w:ascii="宋体" w:hAnsi="宋体" w:cs="宋体"/>
          <w:sz w:val="24"/>
          <w:szCs w:val="24"/>
        </w:rPr>
        <w:t>年，唐山市冀东地区人民检察院共安排非税收入项目</w:t>
      </w:r>
      <w:r>
        <w:rPr>
          <w:rFonts w:hint="eastAsia" w:ascii="宋体" w:hAnsi="宋体"/>
          <w:sz w:val="24"/>
          <w:szCs w:val="24"/>
        </w:rPr>
        <w:t>1</w:t>
      </w:r>
      <w:r>
        <w:rPr>
          <w:rFonts w:hint="eastAsia" w:ascii="宋体" w:hAnsi="宋体" w:cs="宋体"/>
          <w:sz w:val="24"/>
          <w:szCs w:val="24"/>
        </w:rPr>
        <w:t>个，合计收入</w:t>
      </w:r>
      <w:r>
        <w:rPr>
          <w:rFonts w:hint="eastAsia" w:ascii="宋体" w:hAnsi="宋体"/>
          <w:sz w:val="24"/>
          <w:szCs w:val="24"/>
        </w:rPr>
        <w:t>350</w:t>
      </w:r>
      <w:r>
        <w:rPr>
          <w:rFonts w:hint="eastAsia" w:ascii="宋体" w:hAnsi="宋体" w:cs="宋体"/>
          <w:sz w:val="24"/>
          <w:szCs w:val="24"/>
        </w:rPr>
        <w:t>万元。具体安排如下表所示。</w:t>
      </w:r>
    </w:p>
    <w:tbl>
      <w:tblPr>
        <w:tblStyle w:val="11"/>
        <w:tblW w:w="8820" w:type="dxa"/>
        <w:tblInd w:w="93" w:type="dxa"/>
        <w:tblLayout w:type="autofit"/>
        <w:tblCellMar>
          <w:top w:w="0" w:type="dxa"/>
          <w:left w:w="108" w:type="dxa"/>
          <w:bottom w:w="0" w:type="dxa"/>
          <w:right w:w="108" w:type="dxa"/>
        </w:tblCellMar>
      </w:tblPr>
      <w:tblGrid>
        <w:gridCol w:w="2715"/>
        <w:gridCol w:w="1285"/>
        <w:gridCol w:w="1060"/>
        <w:gridCol w:w="1240"/>
        <w:gridCol w:w="1040"/>
        <w:gridCol w:w="1480"/>
      </w:tblGrid>
      <w:tr>
        <w:tblPrEx>
          <w:tblCellMar>
            <w:top w:w="0" w:type="dxa"/>
            <w:left w:w="108" w:type="dxa"/>
            <w:bottom w:w="0" w:type="dxa"/>
            <w:right w:w="108" w:type="dxa"/>
          </w:tblCellMar>
        </w:tblPrEx>
        <w:trPr>
          <w:trHeight w:val="270" w:hRule="atLeast"/>
        </w:trPr>
        <w:tc>
          <w:tcPr>
            <w:tcW w:w="8820" w:type="dxa"/>
            <w:gridSpan w:val="6"/>
            <w:tcBorders>
              <w:top w:val="nil"/>
              <w:left w:val="nil"/>
              <w:bottom w:val="nil"/>
              <w:right w:val="nil"/>
            </w:tcBorders>
            <w:shd w:val="clear" w:color="auto" w:fill="auto"/>
            <w:noWrap/>
            <w:vAlign w:val="bottom"/>
          </w:tcPr>
          <w:p>
            <w:pPr>
              <w:spacing w:line="360" w:lineRule="auto"/>
              <w:jc w:val="center"/>
              <w:rPr>
                <w:rFonts w:ascii="宋体" w:hAnsi="宋体" w:cs="Arial"/>
                <w:sz w:val="24"/>
                <w:szCs w:val="24"/>
              </w:rPr>
            </w:pPr>
            <w:r>
              <w:rPr>
                <w:rFonts w:hint="eastAsia" w:ascii="宋体" w:hAnsi="宋体" w:cs="Arial"/>
                <w:sz w:val="24"/>
                <w:szCs w:val="24"/>
              </w:rPr>
              <w:t>唐山市行政事业单位政府非税收入预算建议计划表</w:t>
            </w:r>
          </w:p>
        </w:tc>
      </w:tr>
      <w:tr>
        <w:tblPrEx>
          <w:tblCellMar>
            <w:top w:w="0" w:type="dxa"/>
            <w:left w:w="108" w:type="dxa"/>
            <w:bottom w:w="0" w:type="dxa"/>
            <w:right w:w="108" w:type="dxa"/>
          </w:tblCellMar>
        </w:tblPrEx>
        <w:trPr>
          <w:trHeight w:val="735" w:hRule="atLeast"/>
        </w:trPr>
        <w:tc>
          <w:tcPr>
            <w:tcW w:w="2715"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r>
              <w:rPr>
                <w:rFonts w:hint="eastAsia" w:ascii="宋体" w:hAnsi="宋体" w:cs="Arial"/>
                <w:sz w:val="24"/>
                <w:szCs w:val="24"/>
              </w:rPr>
              <w:t>305003唐山市冀东地区人民检察院</w:t>
            </w:r>
          </w:p>
        </w:tc>
        <w:tc>
          <w:tcPr>
            <w:tcW w:w="1285"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p>
        </w:tc>
        <w:tc>
          <w:tcPr>
            <w:tcW w:w="1060"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p>
        </w:tc>
        <w:tc>
          <w:tcPr>
            <w:tcW w:w="1240"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p>
        </w:tc>
        <w:tc>
          <w:tcPr>
            <w:tcW w:w="1040"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p>
        </w:tc>
        <w:tc>
          <w:tcPr>
            <w:tcW w:w="1480" w:type="dxa"/>
            <w:tcBorders>
              <w:top w:val="nil"/>
              <w:left w:val="nil"/>
              <w:bottom w:val="nil"/>
              <w:right w:val="nil"/>
            </w:tcBorders>
            <w:shd w:val="clear" w:color="auto" w:fill="auto"/>
            <w:vAlign w:val="center"/>
          </w:tcPr>
          <w:p>
            <w:pPr>
              <w:spacing w:line="360" w:lineRule="auto"/>
              <w:jc w:val="center"/>
              <w:rPr>
                <w:rFonts w:ascii="宋体" w:hAnsi="宋体" w:cs="Arial"/>
                <w:sz w:val="24"/>
                <w:szCs w:val="24"/>
              </w:rPr>
            </w:pPr>
            <w:r>
              <w:rPr>
                <w:rFonts w:hint="eastAsia" w:ascii="宋体" w:hAnsi="宋体" w:cs="Arial"/>
                <w:sz w:val="24"/>
                <w:szCs w:val="24"/>
              </w:rPr>
              <w:t>单位：万元</w:t>
            </w:r>
          </w:p>
        </w:tc>
      </w:tr>
      <w:tr>
        <w:tblPrEx>
          <w:tblCellMar>
            <w:top w:w="0" w:type="dxa"/>
            <w:left w:w="108" w:type="dxa"/>
            <w:bottom w:w="0" w:type="dxa"/>
            <w:right w:w="108" w:type="dxa"/>
          </w:tblCellMar>
        </w:tblPrEx>
        <w:trPr>
          <w:trHeight w:val="270" w:hRule="atLeast"/>
        </w:trPr>
        <w:tc>
          <w:tcPr>
            <w:tcW w:w="271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收入科目</w:t>
            </w:r>
          </w:p>
        </w:tc>
        <w:tc>
          <w:tcPr>
            <w:tcW w:w="128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收入科目名称</w:t>
            </w:r>
          </w:p>
        </w:tc>
        <w:tc>
          <w:tcPr>
            <w:tcW w:w="106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收入总计</w:t>
            </w:r>
          </w:p>
        </w:tc>
        <w:tc>
          <w:tcPr>
            <w:tcW w:w="3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纳入公共财政预算管理的非税收入</w:t>
            </w:r>
          </w:p>
        </w:tc>
      </w:tr>
      <w:tr>
        <w:tblPrEx>
          <w:tblCellMar>
            <w:top w:w="0" w:type="dxa"/>
            <w:left w:w="108" w:type="dxa"/>
            <w:bottom w:w="0" w:type="dxa"/>
            <w:right w:w="108" w:type="dxa"/>
          </w:tblCellMar>
        </w:tblPrEx>
        <w:trPr>
          <w:trHeight w:val="624" w:hRule="atLeast"/>
        </w:trPr>
        <w:tc>
          <w:tcPr>
            <w:tcW w:w="271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28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060" w:type="dxa"/>
            <w:vMerge w:val="continue"/>
            <w:tcBorders>
              <w:top w:val="single" w:color="auto" w:sz="8" w:space="0"/>
              <w:left w:val="single" w:color="auto" w:sz="8" w:space="0"/>
              <w:bottom w:val="single" w:color="000000" w:sz="8" w:space="0"/>
              <w:right w:val="single" w:color="000000" w:sz="8" w:space="0"/>
            </w:tcBorders>
            <w:vAlign w:val="center"/>
          </w:tcPr>
          <w:p>
            <w:pPr>
              <w:rPr>
                <w:rFonts w:ascii="宋体" w:hAnsi="宋体" w:cs="Arial"/>
                <w:sz w:val="24"/>
                <w:szCs w:val="24"/>
              </w:rPr>
            </w:pPr>
          </w:p>
        </w:tc>
        <w:tc>
          <w:tcPr>
            <w:tcW w:w="124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合计</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国有资产（资源）有偿使用收入</w:t>
            </w:r>
          </w:p>
        </w:tc>
        <w:tc>
          <w:tcPr>
            <w:tcW w:w="148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罚没收入</w:t>
            </w:r>
          </w:p>
        </w:tc>
      </w:tr>
      <w:tr>
        <w:tblPrEx>
          <w:tblCellMar>
            <w:top w:w="0" w:type="dxa"/>
            <w:left w:w="108" w:type="dxa"/>
            <w:bottom w:w="0" w:type="dxa"/>
            <w:right w:w="108" w:type="dxa"/>
          </w:tblCellMar>
        </w:tblPrEx>
        <w:trPr>
          <w:trHeight w:val="624" w:hRule="atLeast"/>
        </w:trPr>
        <w:tc>
          <w:tcPr>
            <w:tcW w:w="271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28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060" w:type="dxa"/>
            <w:vMerge w:val="continue"/>
            <w:tcBorders>
              <w:top w:val="single" w:color="auto" w:sz="8" w:space="0"/>
              <w:left w:val="single" w:color="auto" w:sz="8" w:space="0"/>
              <w:bottom w:val="single" w:color="000000" w:sz="8" w:space="0"/>
              <w:right w:val="single" w:color="000000" w:sz="8" w:space="0"/>
            </w:tcBorders>
            <w:vAlign w:val="center"/>
          </w:tcPr>
          <w:p>
            <w:pPr>
              <w:rPr>
                <w:rFonts w:ascii="宋体" w:hAnsi="宋体" w:cs="Arial"/>
                <w:sz w:val="24"/>
                <w:szCs w:val="24"/>
              </w:rPr>
            </w:pPr>
          </w:p>
        </w:tc>
        <w:tc>
          <w:tcPr>
            <w:tcW w:w="1240" w:type="dxa"/>
            <w:vMerge w:val="continue"/>
            <w:tcBorders>
              <w:top w:val="nil"/>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040" w:type="dxa"/>
            <w:vMerge w:val="continue"/>
            <w:tcBorders>
              <w:top w:val="nil"/>
              <w:left w:val="single" w:color="auto" w:sz="8" w:space="0"/>
              <w:bottom w:val="single" w:color="000000" w:sz="8" w:space="0"/>
              <w:right w:val="single" w:color="auto" w:sz="8" w:space="0"/>
            </w:tcBorders>
            <w:vAlign w:val="center"/>
          </w:tcPr>
          <w:p>
            <w:pPr>
              <w:rPr>
                <w:rFonts w:ascii="宋体" w:hAnsi="宋体" w:cs="Arial"/>
                <w:sz w:val="24"/>
                <w:szCs w:val="24"/>
              </w:rPr>
            </w:pPr>
          </w:p>
        </w:tc>
        <w:tc>
          <w:tcPr>
            <w:tcW w:w="1480" w:type="dxa"/>
            <w:vMerge w:val="continue"/>
            <w:tcBorders>
              <w:top w:val="nil"/>
              <w:left w:val="single" w:color="auto" w:sz="8" w:space="0"/>
              <w:bottom w:val="single" w:color="000000" w:sz="8" w:space="0"/>
              <w:right w:val="single" w:color="auto" w:sz="8" w:space="0"/>
            </w:tcBorders>
            <w:vAlign w:val="center"/>
          </w:tcPr>
          <w:p>
            <w:pPr>
              <w:rPr>
                <w:rFonts w:ascii="宋体" w:hAnsi="宋体" w:cs="Arial"/>
                <w:sz w:val="24"/>
                <w:szCs w:val="24"/>
              </w:rPr>
            </w:pPr>
          </w:p>
        </w:tc>
      </w:tr>
      <w:tr>
        <w:tblPrEx>
          <w:tblCellMar>
            <w:top w:w="0" w:type="dxa"/>
            <w:left w:w="108" w:type="dxa"/>
            <w:bottom w:w="0" w:type="dxa"/>
            <w:right w:w="108" w:type="dxa"/>
          </w:tblCellMar>
        </w:tblPrEx>
        <w:trPr>
          <w:trHeight w:val="930" w:hRule="atLeast"/>
        </w:trPr>
        <w:tc>
          <w:tcPr>
            <w:tcW w:w="271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103050102</w:t>
            </w:r>
          </w:p>
        </w:tc>
        <w:tc>
          <w:tcPr>
            <w:tcW w:w="1285"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检察院罚没收入（冀东院）</w:t>
            </w:r>
          </w:p>
        </w:tc>
        <w:tc>
          <w:tcPr>
            <w:tcW w:w="106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sz w:val="24"/>
                <w:szCs w:val="24"/>
              </w:rPr>
              <w:t>350.00</w:t>
            </w:r>
          </w:p>
        </w:tc>
        <w:tc>
          <w:tcPr>
            <w:tcW w:w="124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sz w:val="24"/>
                <w:szCs w:val="24"/>
              </w:rPr>
              <w:t>350.00</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cs="Arial"/>
                <w:sz w:val="24"/>
                <w:szCs w:val="24"/>
              </w:rPr>
              <w:t>　</w:t>
            </w:r>
          </w:p>
        </w:tc>
        <w:tc>
          <w:tcPr>
            <w:tcW w:w="1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 w:val="24"/>
                <w:szCs w:val="24"/>
              </w:rPr>
            </w:pPr>
            <w:r>
              <w:rPr>
                <w:rFonts w:hint="eastAsia" w:ascii="宋体" w:hAnsi="宋体"/>
                <w:sz w:val="24"/>
                <w:szCs w:val="24"/>
              </w:rPr>
              <w:t>350.00</w:t>
            </w:r>
          </w:p>
        </w:tc>
      </w:tr>
      <w:tr>
        <w:tblPrEx>
          <w:tblCellMar>
            <w:top w:w="0" w:type="dxa"/>
            <w:left w:w="108" w:type="dxa"/>
            <w:bottom w:w="0" w:type="dxa"/>
            <w:right w:w="108" w:type="dxa"/>
          </w:tblCellMar>
        </w:tblPrEx>
        <w:trPr>
          <w:trHeight w:val="561" w:hRule="atLeast"/>
        </w:trPr>
        <w:tc>
          <w:tcPr>
            <w:tcW w:w="4000" w:type="dxa"/>
            <w:gridSpan w:val="2"/>
            <w:tcBorders>
              <w:top w:val="single" w:color="auto" w:sz="8" w:space="0"/>
              <w:left w:val="single" w:color="auto" w:sz="8" w:space="0"/>
              <w:bottom w:val="single" w:color="auto" w:sz="8" w:space="0"/>
              <w:right w:val="single" w:color="000000" w:sz="8" w:space="0"/>
            </w:tcBorders>
            <w:shd w:val="clear" w:color="auto" w:fill="auto"/>
            <w:vAlign w:val="bottom"/>
          </w:tcPr>
          <w:p>
            <w:pPr>
              <w:jc w:val="center"/>
              <w:rPr>
                <w:rFonts w:ascii="宋体" w:hAnsi="宋体" w:cs="Arial"/>
                <w:sz w:val="24"/>
                <w:szCs w:val="24"/>
              </w:rPr>
            </w:pPr>
            <w:r>
              <w:rPr>
                <w:rFonts w:hint="eastAsia" w:ascii="宋体" w:hAnsi="宋体" w:cs="Arial"/>
                <w:sz w:val="24"/>
                <w:szCs w:val="24"/>
              </w:rPr>
              <w:t>合  计</w:t>
            </w:r>
          </w:p>
        </w:tc>
        <w:tc>
          <w:tcPr>
            <w:tcW w:w="1060" w:type="dxa"/>
            <w:tcBorders>
              <w:top w:val="nil"/>
              <w:left w:val="nil"/>
              <w:bottom w:val="single" w:color="auto" w:sz="8" w:space="0"/>
              <w:right w:val="single" w:color="auto" w:sz="8" w:space="0"/>
            </w:tcBorders>
            <w:shd w:val="clear" w:color="auto" w:fill="auto"/>
            <w:vAlign w:val="bottom"/>
          </w:tcPr>
          <w:p>
            <w:pPr>
              <w:jc w:val="center"/>
              <w:rPr>
                <w:rFonts w:ascii="宋体" w:hAnsi="宋体" w:cs="Arial"/>
                <w:sz w:val="24"/>
                <w:szCs w:val="24"/>
              </w:rPr>
            </w:pPr>
            <w:r>
              <w:rPr>
                <w:rFonts w:hint="eastAsia" w:ascii="宋体" w:hAnsi="宋体"/>
                <w:sz w:val="24"/>
                <w:szCs w:val="24"/>
              </w:rPr>
              <w:t>350.00</w:t>
            </w:r>
          </w:p>
        </w:tc>
        <w:tc>
          <w:tcPr>
            <w:tcW w:w="1240" w:type="dxa"/>
            <w:tcBorders>
              <w:top w:val="nil"/>
              <w:left w:val="nil"/>
              <w:bottom w:val="single" w:color="auto" w:sz="8" w:space="0"/>
              <w:right w:val="single" w:color="auto" w:sz="8" w:space="0"/>
            </w:tcBorders>
            <w:shd w:val="clear" w:color="auto" w:fill="auto"/>
            <w:vAlign w:val="bottom"/>
          </w:tcPr>
          <w:p>
            <w:pPr>
              <w:jc w:val="center"/>
              <w:rPr>
                <w:rFonts w:ascii="宋体" w:hAnsi="宋体" w:cs="Arial"/>
                <w:sz w:val="24"/>
                <w:szCs w:val="24"/>
              </w:rPr>
            </w:pPr>
            <w:r>
              <w:rPr>
                <w:rFonts w:hint="eastAsia" w:ascii="宋体" w:hAnsi="宋体"/>
                <w:sz w:val="24"/>
                <w:szCs w:val="24"/>
              </w:rPr>
              <w:t>350.00</w:t>
            </w:r>
          </w:p>
        </w:tc>
        <w:tc>
          <w:tcPr>
            <w:tcW w:w="1040" w:type="dxa"/>
            <w:tcBorders>
              <w:top w:val="nil"/>
              <w:left w:val="nil"/>
              <w:bottom w:val="single" w:color="auto" w:sz="8" w:space="0"/>
              <w:right w:val="single" w:color="auto" w:sz="8" w:space="0"/>
            </w:tcBorders>
            <w:shd w:val="clear" w:color="auto" w:fill="auto"/>
            <w:vAlign w:val="bottom"/>
          </w:tcPr>
          <w:p>
            <w:pPr>
              <w:jc w:val="center"/>
              <w:rPr>
                <w:rFonts w:ascii="宋体" w:hAnsi="宋体" w:cs="Arial"/>
                <w:sz w:val="24"/>
                <w:szCs w:val="24"/>
              </w:rPr>
            </w:pPr>
          </w:p>
        </w:tc>
        <w:tc>
          <w:tcPr>
            <w:tcW w:w="1480" w:type="dxa"/>
            <w:tcBorders>
              <w:top w:val="nil"/>
              <w:left w:val="nil"/>
              <w:bottom w:val="single" w:color="auto" w:sz="8" w:space="0"/>
              <w:right w:val="single" w:color="auto" w:sz="8" w:space="0"/>
            </w:tcBorders>
            <w:shd w:val="clear" w:color="auto" w:fill="auto"/>
            <w:vAlign w:val="bottom"/>
          </w:tcPr>
          <w:p>
            <w:pPr>
              <w:jc w:val="center"/>
              <w:rPr>
                <w:rFonts w:ascii="宋体" w:hAnsi="宋体" w:cs="Arial"/>
                <w:sz w:val="24"/>
                <w:szCs w:val="24"/>
              </w:rPr>
            </w:pPr>
            <w:r>
              <w:rPr>
                <w:rFonts w:hint="eastAsia" w:ascii="宋体" w:hAnsi="宋体"/>
                <w:sz w:val="24"/>
                <w:szCs w:val="24"/>
              </w:rPr>
              <w:t>350.00</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rPr>
          <w:rFonts w:ascii="宋体" w:hAnsi="宋体"/>
          <w:sz w:val="24"/>
          <w:szCs w:val="2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80" w:firstLineChars="200"/>
        <w:rPr>
          <w:rFonts w:ascii="宋体" w:hAnsi="宋体"/>
          <w:sz w:val="24"/>
          <w:szCs w:val="24"/>
        </w:rPr>
      </w:pPr>
      <w:r>
        <w:rPr>
          <w:rFonts w:hint="eastAsia" w:ascii="宋体" w:hAnsi="宋体" w:cs="宋体"/>
          <w:sz w:val="24"/>
          <w:szCs w:val="24"/>
        </w:rPr>
        <w:t>上表所示单位组织的政府非税收入计划，是经过唐山市非税收入管理局审核通过的。具体如下</w:t>
      </w:r>
      <w:r>
        <w:rPr>
          <w:rFonts w:ascii="宋体" w:hAnsi="宋体"/>
          <w:sz w:val="24"/>
          <w:szCs w:val="24"/>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、罚没收入</w:t>
      </w:r>
      <w:r>
        <w:rPr>
          <w:rFonts w:ascii="宋体" w:hAnsi="宋体" w:cs="宋体"/>
          <w:sz w:val="24"/>
          <w:szCs w:val="24"/>
        </w:rPr>
        <w:t>:</w:t>
      </w:r>
      <w:r>
        <w:rPr>
          <w:rFonts w:hint="eastAsia" w:ascii="宋体" w:hAnsi="宋体" w:cs="宋体"/>
          <w:sz w:val="24"/>
          <w:szCs w:val="24"/>
        </w:rPr>
        <w:t>主要是我院办案业务部门，在办理案件过程中，依法收缴的涉案款项，经法院判决后，上交非税收入管理局。</w:t>
      </w:r>
    </w:p>
    <w:p/>
    <w:p/>
    <w:p>
      <w:pPr>
        <w:spacing w:line="360" w:lineRule="auto"/>
        <w:rPr>
          <w:rFonts w:ascii="宋体" w:hAnsi="宋体" w:eastAsia="宋体"/>
          <w:b/>
          <w:color w:val="000000"/>
          <w:sz w:val="28"/>
        </w:rPr>
      </w:pPr>
      <w:r>
        <w:rPr>
          <w:rFonts w:ascii="宋体" w:hAnsi="宋体" w:eastAsia="宋体"/>
          <w:b/>
          <w:color w:val="000000"/>
          <w:sz w:val="28"/>
        </w:rPr>
        <w:t>二、支出预算说明</w:t>
      </w:r>
    </w:p>
    <w:p>
      <w:pPr>
        <w:spacing w:line="480" w:lineRule="auto"/>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11"/>
        <w:tblW w:w="14174" w:type="dxa"/>
        <w:jc w:val="center"/>
        <w:tblLayout w:type="autofit"/>
        <w:tblCellMar>
          <w:top w:w="57" w:type="dxa"/>
          <w:left w:w="85" w:type="dxa"/>
          <w:bottom w:w="57" w:type="dxa"/>
          <w:right w:w="85" w:type="dxa"/>
        </w:tblCellMar>
      </w:tblPr>
      <w:tblGrid>
        <w:gridCol w:w="2036"/>
        <w:gridCol w:w="2268"/>
        <w:gridCol w:w="1418"/>
        <w:gridCol w:w="247"/>
        <w:gridCol w:w="8432"/>
      </w:tblGrid>
      <w:tr>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pPr>
              <w:rPr>
                <w:rFonts w:ascii="黑体" w:hAnsi="黑体" w:eastAsia="黑体" w:cs="宋体"/>
                <w:b/>
                <w:color w:val="000000"/>
                <w:szCs w:val="21"/>
              </w:rPr>
            </w:pPr>
            <w:r>
              <w:rPr>
                <w:rFonts w:ascii="宋体" w:hAnsi="宋体"/>
                <w:sz w:val="28"/>
              </w:rPr>
              <w:t>305003唐山市冀东地区人民检察院</w:t>
            </w:r>
          </w:p>
        </w:tc>
        <w:tc>
          <w:tcPr>
            <w:tcW w:w="8432" w:type="dxa"/>
            <w:tcBorders>
              <w:bottom w:val="single" w:color="auto" w:sz="4" w:space="0"/>
            </w:tcBorders>
            <w:shd w:val="clear" w:color="auto" w:fill="auto"/>
            <w:noWrap/>
            <w:vAlign w:val="center"/>
          </w:tcPr>
          <w:p>
            <w:pPr>
              <w:jc w:val="right"/>
              <w:rPr>
                <w:rFonts w:ascii="黑体" w:hAnsi="黑体" w:eastAsia="黑体" w:cs="宋体"/>
                <w:b/>
                <w:color w:val="00000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trPr>
        <w:tc>
          <w:tcPr>
            <w:tcW w:w="1809" w:type="dxa"/>
            <w:vMerge w:val="restart"/>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项目编码</w:t>
            </w:r>
          </w:p>
        </w:tc>
        <w:tc>
          <w:tcPr>
            <w:tcW w:w="2268" w:type="dxa"/>
            <w:vMerge w:val="restart"/>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color w:val="000000"/>
                <w:szCs w:val="21"/>
              </w:rPr>
              <w:t>项目名称</w:t>
            </w:r>
          </w:p>
        </w:tc>
        <w:tc>
          <w:tcPr>
            <w:tcW w:w="1418" w:type="dxa"/>
            <w:vMerge w:val="restart"/>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color w:val="000000"/>
                <w:szCs w:val="21"/>
              </w:rPr>
              <w:t>项目总计</w:t>
            </w:r>
          </w:p>
        </w:tc>
        <w:tc>
          <w:tcPr>
            <w:tcW w:w="8679" w:type="dxa"/>
            <w:gridSpan w:val="2"/>
            <w:vMerge w:val="restart"/>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color w:val="00000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trPr>
        <w:tc>
          <w:tcPr>
            <w:tcW w:w="1809" w:type="dxa"/>
            <w:vMerge w:val="continue"/>
            <w:vAlign w:val="center"/>
          </w:tcPr>
          <w:p>
            <w:pPr>
              <w:jc w:val="center"/>
              <w:rPr>
                <w:rFonts w:ascii="黑体" w:hAnsi="黑体" w:eastAsia="黑体" w:cs="宋体"/>
                <w:b/>
                <w:bCs/>
                <w:color w:val="000000"/>
                <w:szCs w:val="21"/>
              </w:rPr>
            </w:pPr>
          </w:p>
        </w:tc>
        <w:tc>
          <w:tcPr>
            <w:tcW w:w="2268" w:type="dxa"/>
            <w:vMerge w:val="continue"/>
            <w:vAlign w:val="center"/>
          </w:tcPr>
          <w:p>
            <w:pPr>
              <w:jc w:val="center"/>
              <w:rPr>
                <w:rFonts w:ascii="黑体" w:hAnsi="黑体" w:eastAsia="黑体" w:cs="宋体"/>
                <w:b/>
                <w:bCs/>
                <w:color w:val="000000"/>
                <w:szCs w:val="21"/>
              </w:rPr>
            </w:pPr>
          </w:p>
        </w:tc>
        <w:tc>
          <w:tcPr>
            <w:tcW w:w="1418" w:type="dxa"/>
            <w:vMerge w:val="continue"/>
            <w:vAlign w:val="center"/>
          </w:tcPr>
          <w:p>
            <w:pPr>
              <w:jc w:val="center"/>
              <w:rPr>
                <w:rFonts w:ascii="黑体" w:hAnsi="黑体" w:eastAsia="黑体" w:cs="宋体"/>
                <w:b/>
                <w:bCs/>
                <w:color w:val="000000"/>
                <w:szCs w:val="21"/>
              </w:rPr>
            </w:pPr>
          </w:p>
        </w:tc>
        <w:tc>
          <w:tcPr>
            <w:tcW w:w="8679" w:type="dxa"/>
            <w:gridSpan w:val="2"/>
            <w:vMerge w:val="continue"/>
            <w:vAlign w:val="center"/>
          </w:tcPr>
          <w:p>
            <w:pPr>
              <w:jc w:val="center"/>
              <w:rPr>
                <w:rFonts w:ascii="黑体" w:hAnsi="黑体" w:eastAsia="黑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blHeader/>
        </w:trPr>
        <w:tc>
          <w:tcPr>
            <w:tcW w:w="1809" w:type="dxa"/>
            <w:vMerge w:val="continue"/>
            <w:shd w:val="clear" w:color="auto" w:fill="auto"/>
            <w:vAlign w:val="center"/>
          </w:tcPr>
          <w:p>
            <w:pPr>
              <w:rPr>
                <w:rFonts w:ascii="宋体" w:hAnsi="宋体" w:cs="宋体"/>
                <w:color w:val="000000"/>
                <w:szCs w:val="21"/>
              </w:rPr>
            </w:pPr>
          </w:p>
        </w:tc>
        <w:tc>
          <w:tcPr>
            <w:tcW w:w="2268" w:type="dxa"/>
            <w:vMerge w:val="continue"/>
            <w:shd w:val="clear" w:color="auto" w:fill="auto"/>
            <w:vAlign w:val="center"/>
          </w:tcPr>
          <w:p>
            <w:pPr>
              <w:rPr>
                <w:rFonts w:ascii="宋体" w:hAnsi="宋体" w:cs="宋体"/>
                <w:color w:val="000000"/>
                <w:szCs w:val="21"/>
              </w:rPr>
            </w:pPr>
          </w:p>
        </w:tc>
        <w:tc>
          <w:tcPr>
            <w:tcW w:w="1418" w:type="dxa"/>
            <w:vMerge w:val="continue"/>
            <w:shd w:val="clear" w:color="auto" w:fill="auto"/>
            <w:vAlign w:val="center"/>
          </w:tcPr>
          <w:p>
            <w:pPr>
              <w:jc w:val="right"/>
              <w:rPr>
                <w:rFonts w:ascii="宋体" w:hAnsi="宋体" w:cs="宋体"/>
                <w:color w:val="000000"/>
                <w:szCs w:val="21"/>
              </w:rPr>
            </w:pPr>
          </w:p>
        </w:tc>
        <w:tc>
          <w:tcPr>
            <w:tcW w:w="8679" w:type="dxa"/>
            <w:gridSpan w:val="2"/>
            <w:vMerge w:val="continue"/>
            <w:shd w:val="clear" w:color="auto" w:fill="auto"/>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1809" w:type="dxa"/>
            <w:shd w:val="clear" w:color="auto" w:fill="auto"/>
            <w:vAlign w:val="center"/>
          </w:tcPr>
          <w:p>
            <w:pPr>
              <w:rPr>
                <w:rFonts w:ascii="宋体" w:hAnsi="宋体" w:cs="宋体"/>
                <w:color w:val="000000"/>
                <w:szCs w:val="21"/>
              </w:rPr>
            </w:pP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合计</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167.30</w:t>
            </w:r>
          </w:p>
        </w:tc>
        <w:tc>
          <w:tcPr>
            <w:tcW w:w="8679" w:type="dxa"/>
            <w:gridSpan w:val="2"/>
            <w:shd w:val="clear" w:color="auto" w:fill="auto"/>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9" w:type="dxa"/>
            <w:shd w:val="clear" w:color="auto" w:fill="auto"/>
            <w:vAlign w:val="center"/>
          </w:tcPr>
          <w:p>
            <w:pPr>
              <w:rPr>
                <w:rFonts w:ascii="宋体" w:hAnsi="宋体" w:cs="宋体"/>
                <w:color w:val="000000"/>
                <w:szCs w:val="21"/>
              </w:rPr>
            </w:pPr>
            <w:r>
              <w:rPr>
                <w:rFonts w:ascii="宋体" w:hAnsi="宋体" w:cs="宋体"/>
                <w:color w:val="000000"/>
                <w:szCs w:val="21"/>
              </w:rPr>
              <w:t>30500321GGZ0013</w:t>
            </w: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冀东院办公家具购置</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2.10</w:t>
            </w:r>
          </w:p>
        </w:tc>
        <w:tc>
          <w:tcPr>
            <w:tcW w:w="8679" w:type="dxa"/>
            <w:gridSpan w:val="2"/>
            <w:shd w:val="clear" w:color="auto" w:fill="auto"/>
            <w:vAlign w:val="center"/>
          </w:tcPr>
          <w:p>
            <w:pPr>
              <w:rPr>
                <w:rFonts w:ascii="宋体" w:hAnsi="宋体" w:cs="宋体"/>
                <w:color w:val="000000"/>
                <w:szCs w:val="21"/>
              </w:rPr>
            </w:pPr>
            <w:r>
              <w:rPr>
                <w:rFonts w:ascii="宋体" w:hAnsi="宋体" w:cs="宋体"/>
                <w:color w:val="000000"/>
                <w:szCs w:val="21"/>
              </w:rPr>
              <w:t>2022年为保证各检察室及新建原省劳教所改造为省第二女子监狱派驻检察室正常办公办案,计划购置办公家具2.1万元。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9" w:type="dxa"/>
            <w:shd w:val="clear" w:color="auto" w:fill="auto"/>
            <w:vAlign w:val="center"/>
          </w:tcPr>
          <w:p>
            <w:pPr>
              <w:rPr>
                <w:rFonts w:ascii="宋体" w:hAnsi="宋体" w:cs="宋体"/>
                <w:color w:val="000000"/>
                <w:szCs w:val="21"/>
              </w:rPr>
            </w:pPr>
            <w:r>
              <w:rPr>
                <w:rFonts w:ascii="宋体" w:hAnsi="宋体" w:cs="宋体"/>
                <w:color w:val="000000"/>
                <w:szCs w:val="21"/>
              </w:rPr>
              <w:t>30500321GGZ0014</w:t>
            </w: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冀东院业务装备购置</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1.10</w:t>
            </w:r>
          </w:p>
        </w:tc>
        <w:tc>
          <w:tcPr>
            <w:tcW w:w="8679" w:type="dxa"/>
            <w:gridSpan w:val="2"/>
            <w:shd w:val="clear" w:color="auto" w:fill="auto"/>
            <w:vAlign w:val="center"/>
          </w:tcPr>
          <w:p>
            <w:pPr>
              <w:rPr>
                <w:rFonts w:ascii="宋体" w:hAnsi="宋体" w:cs="宋体"/>
                <w:color w:val="000000"/>
                <w:szCs w:val="21"/>
              </w:rPr>
            </w:pPr>
            <w:r>
              <w:rPr>
                <w:rFonts w:hint="eastAsia" w:ascii="宋体" w:hAnsi="宋体" w:cs="宋体"/>
                <w:color w:val="000000"/>
                <w:szCs w:val="21"/>
              </w:rPr>
              <w:t>根据河北省人民检察院《关于做好检察专网密码设备经费预算的通知》，</w:t>
            </w:r>
            <w:r>
              <w:rPr>
                <w:rFonts w:ascii="宋体" w:hAnsi="宋体" w:cs="宋体"/>
                <w:color w:val="000000"/>
                <w:szCs w:val="21"/>
              </w:rPr>
              <w:t>2022年我院需采购认证型智能密码钥匙50把,220元\把，需1.1万元。共计1.1万元。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9" w:type="dxa"/>
            <w:shd w:val="clear" w:color="auto" w:fill="auto"/>
            <w:vAlign w:val="center"/>
          </w:tcPr>
          <w:p>
            <w:pPr>
              <w:rPr>
                <w:rFonts w:ascii="宋体" w:hAnsi="宋体" w:cs="宋体"/>
                <w:color w:val="000000"/>
                <w:szCs w:val="21"/>
              </w:rPr>
            </w:pPr>
            <w:r>
              <w:rPr>
                <w:rFonts w:ascii="宋体" w:hAnsi="宋体" w:cs="宋体"/>
                <w:color w:val="000000"/>
                <w:szCs w:val="21"/>
              </w:rPr>
              <w:t>30500320GXS0011</w:t>
            </w: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冀东院监管安全防控中心（原办案基地）维护、修缮改造、绿化</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10.00</w:t>
            </w:r>
          </w:p>
        </w:tc>
        <w:tc>
          <w:tcPr>
            <w:tcW w:w="8679" w:type="dxa"/>
            <w:gridSpan w:val="2"/>
            <w:shd w:val="clear" w:color="auto" w:fill="auto"/>
            <w:vAlign w:val="center"/>
          </w:tcPr>
          <w:p>
            <w:pPr>
              <w:rPr>
                <w:rFonts w:ascii="宋体" w:hAnsi="宋体" w:cs="宋体"/>
                <w:color w:val="000000"/>
                <w:szCs w:val="21"/>
              </w:rPr>
            </w:pPr>
            <w:r>
              <w:rPr>
                <w:rFonts w:hint="eastAsia" w:ascii="宋体" w:hAnsi="宋体" w:cs="宋体"/>
                <w:color w:val="000000"/>
                <w:szCs w:val="21"/>
              </w:rPr>
              <w:t>我院租用的河北南堡盐场有限公司（国有企业）闲置楼房，年久失修、盐碱腐蚀严重、线路老化、排水不畅、院内积水、房顶漏水。需要进行维护、修缮、改造、绿化。警示教育展厅维护，设备、展板内容更新。计划开支</w:t>
            </w:r>
            <w:r>
              <w:rPr>
                <w:rFonts w:ascii="宋体" w:hAnsi="宋体" w:cs="宋体"/>
                <w:color w:val="000000"/>
                <w:szCs w:val="21"/>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9" w:type="dxa"/>
            <w:shd w:val="clear" w:color="auto" w:fill="auto"/>
            <w:vAlign w:val="center"/>
          </w:tcPr>
          <w:p>
            <w:pPr>
              <w:rPr>
                <w:rFonts w:ascii="宋体" w:hAnsi="宋体" w:cs="宋体"/>
                <w:color w:val="000000"/>
                <w:szCs w:val="21"/>
              </w:rPr>
            </w:pPr>
            <w:r>
              <w:rPr>
                <w:rFonts w:ascii="宋体" w:hAnsi="宋体" w:cs="宋体"/>
                <w:color w:val="000000"/>
                <w:szCs w:val="21"/>
              </w:rPr>
              <w:t>30500320GXS0012</w:t>
            </w: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冀东院业务维修费及办公用房改造</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5.00</w:t>
            </w:r>
          </w:p>
        </w:tc>
        <w:tc>
          <w:tcPr>
            <w:tcW w:w="8679" w:type="dxa"/>
            <w:gridSpan w:val="2"/>
            <w:shd w:val="clear" w:color="auto" w:fill="auto"/>
            <w:vAlign w:val="center"/>
          </w:tcPr>
          <w:p>
            <w:pPr>
              <w:rPr>
                <w:rFonts w:ascii="宋体" w:hAnsi="宋体" w:cs="宋体"/>
                <w:color w:val="000000"/>
                <w:szCs w:val="21"/>
              </w:rPr>
            </w:pPr>
            <w:r>
              <w:rPr>
                <w:rFonts w:ascii="宋体" w:hAnsi="宋体" w:cs="宋体"/>
                <w:color w:val="000000"/>
                <w:szCs w:val="21"/>
              </w:rPr>
              <w:t>2022年计划对各类业务装备、空调等电器设备进行维修。对部分办公用房进行改造，需要经费5万元。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9" w:type="dxa"/>
            <w:shd w:val="clear" w:color="auto" w:fill="auto"/>
            <w:vAlign w:val="center"/>
          </w:tcPr>
          <w:p>
            <w:pPr>
              <w:rPr>
                <w:rFonts w:ascii="宋体" w:hAnsi="宋体" w:cs="宋体"/>
                <w:color w:val="000000"/>
                <w:szCs w:val="21"/>
              </w:rPr>
            </w:pPr>
            <w:r>
              <w:rPr>
                <w:rFonts w:ascii="宋体" w:hAnsi="宋体" w:cs="宋体"/>
                <w:color w:val="000000"/>
                <w:szCs w:val="21"/>
              </w:rPr>
              <w:t>30500321GWH0015</w:t>
            </w: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冀东院网络运行维护保养及设备更新</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23.10</w:t>
            </w:r>
          </w:p>
        </w:tc>
        <w:tc>
          <w:tcPr>
            <w:tcW w:w="8679" w:type="dxa"/>
            <w:gridSpan w:val="2"/>
            <w:shd w:val="clear" w:color="auto" w:fill="auto"/>
            <w:vAlign w:val="center"/>
          </w:tcPr>
          <w:p>
            <w:pPr>
              <w:rPr>
                <w:rFonts w:ascii="宋体" w:hAnsi="宋体" w:cs="宋体"/>
                <w:color w:val="000000"/>
                <w:szCs w:val="21"/>
              </w:rPr>
            </w:pPr>
            <w:r>
              <w:rPr>
                <w:rFonts w:hint="eastAsia" w:ascii="宋体" w:hAnsi="宋体" w:cs="宋体"/>
                <w:color w:val="000000"/>
                <w:szCs w:val="21"/>
              </w:rPr>
              <w:t>对工作网、涉密网系统、外网系统、</w:t>
            </w:r>
            <w:r>
              <w:rPr>
                <w:rFonts w:ascii="宋体" w:hAnsi="宋体" w:cs="宋体"/>
                <w:color w:val="000000"/>
                <w:szCs w:val="21"/>
              </w:rPr>
              <w:t>UPS系统、安防系统、门禁系统、 报警系统、会议系统及设备定期维护保养升级，操作系统软件安装，网络故障排除，设备更换，机房建设，原驻省劳教所改造为省第二女子监狱派驻检察室网络建设，其他网络信息技术服务费，涉密网复评，工作网复评，共计23.1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9" w:type="dxa"/>
            <w:shd w:val="clear" w:color="auto" w:fill="auto"/>
            <w:vAlign w:val="center"/>
          </w:tcPr>
          <w:p>
            <w:pPr>
              <w:rPr>
                <w:rFonts w:ascii="宋体" w:hAnsi="宋体" w:cs="宋体"/>
                <w:color w:val="000000"/>
                <w:szCs w:val="21"/>
              </w:rPr>
            </w:pPr>
            <w:r>
              <w:rPr>
                <w:rFonts w:ascii="宋体" w:hAnsi="宋体" w:cs="宋体"/>
                <w:color w:val="000000"/>
                <w:szCs w:val="21"/>
              </w:rPr>
              <w:t>30500320GYS0003</w:t>
            </w: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冀东院印刷费</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8.00</w:t>
            </w:r>
          </w:p>
        </w:tc>
        <w:tc>
          <w:tcPr>
            <w:tcW w:w="8679" w:type="dxa"/>
            <w:gridSpan w:val="2"/>
            <w:shd w:val="clear" w:color="auto" w:fill="auto"/>
            <w:vAlign w:val="center"/>
          </w:tcPr>
          <w:p>
            <w:pPr>
              <w:rPr>
                <w:rFonts w:ascii="宋体" w:hAnsi="宋体" w:cs="宋体"/>
                <w:color w:val="000000"/>
                <w:szCs w:val="21"/>
              </w:rPr>
            </w:pPr>
            <w:r>
              <w:rPr>
                <w:rFonts w:ascii="宋体" w:hAnsi="宋体" w:cs="宋体"/>
                <w:color w:val="000000"/>
                <w:szCs w:val="21"/>
              </w:rPr>
              <w:t>2022年需要印刷部分常用文书、卷宗封面、档案袋、红头纸、检务联系卡、法律宣传手册、学习笔记本、刑法执行监督业务文件汇编、唐山市冀东地区人民检察院工作规范书等。需要印刷费8万元。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9" w:type="dxa"/>
            <w:shd w:val="clear" w:color="auto" w:fill="auto"/>
            <w:vAlign w:val="center"/>
          </w:tcPr>
          <w:p>
            <w:pPr>
              <w:rPr>
                <w:rFonts w:ascii="宋体" w:hAnsi="宋体" w:cs="宋体"/>
                <w:color w:val="000000"/>
                <w:szCs w:val="21"/>
              </w:rPr>
            </w:pPr>
            <w:r>
              <w:rPr>
                <w:rFonts w:ascii="宋体" w:hAnsi="宋体" w:cs="宋体"/>
                <w:color w:val="000000"/>
                <w:szCs w:val="21"/>
              </w:rPr>
              <w:t>30500320GZL0002</w:t>
            </w: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冀东院房屋租赁费</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15.00</w:t>
            </w:r>
          </w:p>
        </w:tc>
        <w:tc>
          <w:tcPr>
            <w:tcW w:w="8679" w:type="dxa"/>
            <w:gridSpan w:val="2"/>
            <w:shd w:val="clear" w:color="auto" w:fill="auto"/>
            <w:vAlign w:val="center"/>
          </w:tcPr>
          <w:p>
            <w:pPr>
              <w:rPr>
                <w:rFonts w:ascii="宋体" w:hAnsi="宋体" w:cs="宋体"/>
                <w:color w:val="000000"/>
                <w:szCs w:val="21"/>
              </w:rPr>
            </w:pPr>
            <w:r>
              <w:rPr>
                <w:rFonts w:ascii="宋体" w:hAnsi="宋体" w:cs="宋体"/>
                <w:color w:val="000000"/>
                <w:szCs w:val="21"/>
              </w:rPr>
              <w:t>2022年继续租用南堡盐场有限公司闲置楼房作为我院驻河北省监狱管理局冀东分局各检察室集中办案场所即监管安全防控中心(原办案基地），房屋共计59间，建筑面积2460平方米。年租金15万元。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9" w:type="dxa"/>
            <w:shd w:val="clear" w:color="auto" w:fill="auto"/>
            <w:vAlign w:val="center"/>
          </w:tcPr>
          <w:p>
            <w:pPr>
              <w:rPr>
                <w:rFonts w:ascii="宋体" w:hAnsi="宋体" w:cs="宋体"/>
                <w:color w:val="000000"/>
                <w:szCs w:val="21"/>
              </w:rPr>
            </w:pPr>
            <w:r>
              <w:rPr>
                <w:rFonts w:ascii="宋体" w:hAnsi="宋体" w:cs="宋体"/>
                <w:color w:val="000000"/>
                <w:szCs w:val="21"/>
              </w:rPr>
              <w:t>30500320GZX0006</w:t>
            </w: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冀东院办案业务费</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52.00</w:t>
            </w:r>
          </w:p>
        </w:tc>
        <w:tc>
          <w:tcPr>
            <w:tcW w:w="8679" w:type="dxa"/>
            <w:gridSpan w:val="2"/>
            <w:shd w:val="clear" w:color="auto" w:fill="auto"/>
            <w:vAlign w:val="center"/>
          </w:tcPr>
          <w:p>
            <w:pPr>
              <w:rPr>
                <w:rFonts w:ascii="宋体" w:hAnsi="宋体" w:cs="宋体"/>
                <w:color w:val="000000"/>
                <w:szCs w:val="21"/>
              </w:rPr>
            </w:pPr>
            <w:r>
              <w:rPr>
                <w:rFonts w:hint="eastAsia" w:ascii="宋体" w:hAnsi="宋体" w:cs="宋体"/>
                <w:color w:val="000000"/>
                <w:szCs w:val="21"/>
              </w:rPr>
              <w:t>主要包括：</w:t>
            </w:r>
          </w:p>
          <w:p>
            <w:pPr>
              <w:rPr>
                <w:rFonts w:ascii="宋体" w:hAnsi="宋体" w:cs="宋体"/>
                <w:color w:val="000000"/>
                <w:szCs w:val="21"/>
              </w:rPr>
            </w:pPr>
            <w:r>
              <w:rPr>
                <w:rFonts w:ascii="宋体" w:hAnsi="宋体" w:cs="宋体"/>
                <w:color w:val="000000"/>
                <w:szCs w:val="21"/>
              </w:rPr>
              <w:t xml:space="preserve">1. 办案劳务费47万元。办案过程中发生各项劳务费。   </w:t>
            </w:r>
          </w:p>
          <w:p>
            <w:pPr>
              <w:rPr>
                <w:rFonts w:ascii="宋体" w:hAnsi="宋体" w:cs="宋体"/>
                <w:color w:val="000000"/>
                <w:szCs w:val="21"/>
              </w:rPr>
            </w:pPr>
            <w:r>
              <w:rPr>
                <w:rFonts w:ascii="宋体" w:hAnsi="宋体" w:cs="宋体"/>
                <w:color w:val="000000"/>
                <w:szCs w:val="21"/>
              </w:rPr>
              <w:t>2. 办案业务费5万元。在依法履行刑事执行检察职能过程中产生各类办案业务费。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9" w:type="dxa"/>
            <w:shd w:val="clear" w:color="auto" w:fill="auto"/>
            <w:vAlign w:val="center"/>
          </w:tcPr>
          <w:p>
            <w:pPr>
              <w:rPr>
                <w:rFonts w:ascii="宋体" w:hAnsi="宋体" w:cs="宋体"/>
                <w:color w:val="000000"/>
                <w:szCs w:val="21"/>
              </w:rPr>
            </w:pPr>
            <w:r>
              <w:rPr>
                <w:rFonts w:ascii="宋体" w:hAnsi="宋体" w:cs="宋体"/>
                <w:color w:val="000000"/>
                <w:szCs w:val="21"/>
              </w:rPr>
              <w:t>30500320GZX0008</w:t>
            </w: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冀东院资料费</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3.00</w:t>
            </w:r>
          </w:p>
        </w:tc>
        <w:tc>
          <w:tcPr>
            <w:tcW w:w="8679" w:type="dxa"/>
            <w:gridSpan w:val="2"/>
            <w:shd w:val="clear" w:color="auto" w:fill="auto"/>
            <w:vAlign w:val="center"/>
          </w:tcPr>
          <w:p>
            <w:pPr>
              <w:rPr>
                <w:rFonts w:ascii="宋体" w:hAnsi="宋体" w:cs="宋体"/>
                <w:color w:val="000000"/>
                <w:szCs w:val="21"/>
              </w:rPr>
            </w:pPr>
            <w:r>
              <w:rPr>
                <w:rFonts w:hint="eastAsia" w:ascii="宋体" w:hAnsi="宋体" w:cs="宋体"/>
                <w:color w:val="000000"/>
                <w:szCs w:val="21"/>
              </w:rPr>
              <w:t>为了满足干警对检察业务、兴趣爱好等方面知识的学习，加强检察文化建设、开展法律宣传，</w:t>
            </w:r>
            <w:r>
              <w:rPr>
                <w:rFonts w:ascii="宋体" w:hAnsi="宋体" w:cs="宋体"/>
                <w:color w:val="000000"/>
                <w:szCs w:val="21"/>
              </w:rPr>
              <w:t>2022年购买一批图书，需开支3万元。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9" w:type="dxa"/>
            <w:shd w:val="clear" w:color="auto" w:fill="auto"/>
            <w:vAlign w:val="center"/>
          </w:tcPr>
          <w:p>
            <w:pPr>
              <w:rPr>
                <w:rFonts w:ascii="宋体" w:hAnsi="宋体" w:cs="宋体"/>
                <w:color w:val="000000"/>
                <w:szCs w:val="21"/>
              </w:rPr>
            </w:pPr>
            <w:r>
              <w:rPr>
                <w:rFonts w:ascii="宋体" w:hAnsi="宋体" w:cs="宋体"/>
                <w:color w:val="000000"/>
                <w:szCs w:val="21"/>
              </w:rPr>
              <w:t>30500320GZX0010</w:t>
            </w: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冀东院检察室规范化建设</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43.00</w:t>
            </w:r>
          </w:p>
        </w:tc>
        <w:tc>
          <w:tcPr>
            <w:tcW w:w="8679" w:type="dxa"/>
            <w:gridSpan w:val="2"/>
            <w:shd w:val="clear" w:color="auto" w:fill="auto"/>
            <w:vAlign w:val="center"/>
          </w:tcPr>
          <w:p>
            <w:pPr>
              <w:rPr>
                <w:rFonts w:ascii="宋体" w:hAnsi="宋体" w:cs="宋体"/>
                <w:color w:val="000000"/>
                <w:szCs w:val="21"/>
              </w:rPr>
            </w:pPr>
            <w:r>
              <w:rPr>
                <w:rFonts w:hint="eastAsia" w:ascii="宋体" w:hAnsi="宋体" w:cs="宋体"/>
                <w:color w:val="000000"/>
                <w:szCs w:val="21"/>
              </w:rPr>
              <w:t>为了进一步规范检察室建设</w:t>
            </w:r>
            <w:r>
              <w:rPr>
                <w:rFonts w:ascii="宋体" w:hAnsi="宋体" w:cs="宋体"/>
                <w:color w:val="000000"/>
                <w:szCs w:val="21"/>
              </w:rPr>
              <w:t>,根据检察室规范化建设等级评定标准，补充更新相关软件、硬件设备,加强信息化建设,计划开支20万元。为做好疫情常态化下对所辖监管场所检察监督，2022年建设刑事检察视频监控信息化指挥中心，采购设备开支23万元。共计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9" w:type="dxa"/>
            <w:shd w:val="clear" w:color="auto" w:fill="auto"/>
            <w:vAlign w:val="center"/>
          </w:tcPr>
          <w:p>
            <w:pPr>
              <w:rPr>
                <w:rFonts w:ascii="宋体" w:hAnsi="宋体" w:cs="宋体"/>
                <w:color w:val="000000"/>
                <w:szCs w:val="21"/>
              </w:rPr>
            </w:pPr>
            <w:r>
              <w:rPr>
                <w:rFonts w:ascii="宋体" w:hAnsi="宋体" w:cs="宋体"/>
                <w:color w:val="000000"/>
                <w:szCs w:val="21"/>
              </w:rPr>
              <w:t>30500322GZX0016</w:t>
            </w:r>
          </w:p>
        </w:tc>
        <w:tc>
          <w:tcPr>
            <w:tcW w:w="2268" w:type="dxa"/>
            <w:shd w:val="clear" w:color="auto" w:fill="auto"/>
            <w:vAlign w:val="center"/>
          </w:tcPr>
          <w:p>
            <w:pPr>
              <w:rPr>
                <w:rFonts w:ascii="宋体" w:hAnsi="宋体" w:cs="宋体"/>
                <w:color w:val="000000"/>
                <w:szCs w:val="21"/>
              </w:rPr>
            </w:pPr>
            <w:r>
              <w:rPr>
                <w:rFonts w:hint="eastAsia" w:ascii="宋体" w:hAnsi="宋体" w:cs="宋体"/>
                <w:color w:val="000000"/>
                <w:szCs w:val="21"/>
              </w:rPr>
              <w:t>援疆费</w:t>
            </w:r>
          </w:p>
        </w:tc>
        <w:tc>
          <w:tcPr>
            <w:tcW w:w="1418" w:type="dxa"/>
            <w:shd w:val="clear" w:color="auto" w:fill="auto"/>
            <w:vAlign w:val="center"/>
          </w:tcPr>
          <w:p>
            <w:pPr>
              <w:jc w:val="right"/>
              <w:rPr>
                <w:rFonts w:ascii="宋体" w:hAnsi="宋体" w:cs="宋体"/>
                <w:color w:val="000000"/>
                <w:szCs w:val="21"/>
              </w:rPr>
            </w:pPr>
            <w:r>
              <w:rPr>
                <w:rFonts w:ascii="宋体" w:hAnsi="宋体" w:cs="宋体"/>
                <w:color w:val="000000"/>
                <w:szCs w:val="21"/>
              </w:rPr>
              <w:t>5.00</w:t>
            </w:r>
          </w:p>
        </w:tc>
        <w:tc>
          <w:tcPr>
            <w:tcW w:w="8679" w:type="dxa"/>
            <w:gridSpan w:val="2"/>
            <w:shd w:val="clear" w:color="auto" w:fill="auto"/>
            <w:vAlign w:val="center"/>
          </w:tcPr>
          <w:p>
            <w:pPr>
              <w:rPr>
                <w:rFonts w:ascii="宋体" w:hAnsi="宋体" w:cs="宋体"/>
                <w:color w:val="000000"/>
                <w:szCs w:val="21"/>
              </w:rPr>
            </w:pPr>
            <w:r>
              <w:rPr>
                <w:rFonts w:hint="eastAsia" w:ascii="宋体" w:hAnsi="宋体" w:cs="宋体"/>
                <w:color w:val="000000"/>
                <w:szCs w:val="21"/>
              </w:rPr>
              <w:t>根据河北省人民检察院与新疆维吾尔自治区人民检察院签订的援助协议</w:t>
            </w:r>
            <w:r>
              <w:rPr>
                <w:rFonts w:ascii="宋体" w:hAnsi="宋体" w:cs="宋体"/>
                <w:color w:val="000000"/>
                <w:szCs w:val="21"/>
              </w:rPr>
              <w:t>,我院2022年援助新疆乌鲁木齐八家户地区人民检察院资金5万元.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rPr>
          <w:rFonts w:ascii="宋体" w:hAnsi="宋体" w:eastAsia="宋体"/>
          <w:b/>
          <w:color w:val="000000"/>
          <w:sz w:val="28"/>
        </w:rPr>
        <w:sectPr>
          <w:headerReference r:id="rId15" w:type="default"/>
          <w:pgSz w:w="16838" w:h="11906" w:orient="landscape"/>
          <w:pgMar w:top="1800" w:right="1440" w:bottom="1800" w:left="1440" w:header="851" w:footer="992" w:gutter="0"/>
          <w:cols w:space="425" w:num="1"/>
          <w:docGrid w:type="lines" w:linePitch="312" w:charSpace="0"/>
        </w:sectPr>
      </w:pPr>
    </w:p>
    <w:p>
      <w:pPr>
        <w:spacing w:line="480" w:lineRule="auto"/>
        <w:rPr>
          <w:rFonts w:ascii="宋体" w:hAnsi="宋体" w:eastAsia="宋体"/>
          <w:b/>
          <w:color w:val="000000"/>
          <w:sz w:val="28"/>
        </w:rPr>
      </w:pPr>
      <w:r>
        <w:rPr>
          <w:rFonts w:ascii="宋体" w:hAnsi="宋体" w:eastAsia="宋体"/>
          <w:b/>
          <w:color w:val="000000"/>
          <w:sz w:val="28"/>
        </w:rPr>
        <w:t>（二）专项项目安排说明</w:t>
      </w:r>
    </w:p>
    <w:p/>
    <w:p>
      <w:pPr>
        <w:spacing w:line="360" w:lineRule="auto"/>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rPr>
          <w:rFonts w:ascii="宋体" w:hAnsi="宋体" w:eastAsia="宋体"/>
          <w:b/>
          <w:color w:val="000000"/>
          <w:sz w:val="44"/>
        </w:rPr>
      </w:pPr>
    </w:p>
    <w:p>
      <w:pPr>
        <w:spacing w:line="360" w:lineRule="auto"/>
        <w:rPr>
          <w:rFonts w:ascii="宋体" w:hAnsi="宋体" w:eastAsia="宋体"/>
          <w:b/>
          <w:color w:val="000000"/>
          <w:sz w:val="44"/>
        </w:rPr>
      </w:pPr>
    </w:p>
    <w:p>
      <w:pPr>
        <w:spacing w:line="360" w:lineRule="auto"/>
        <w:rPr>
          <w:rFonts w:ascii="宋体" w:hAnsi="宋体" w:eastAsia="宋体"/>
          <w:b/>
          <w:color w:val="000000"/>
          <w:sz w:val="44"/>
        </w:rPr>
      </w:pPr>
    </w:p>
    <w:p>
      <w:pPr>
        <w:spacing w:line="360" w:lineRule="auto"/>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 w:name="_Toc91695361"/>
      <w:r>
        <w:t>三、唐山高新技术产业开发区人民检察院收支预算安排</w:t>
      </w:r>
      <w:bookmarkEnd w:id="2"/>
    </w:p>
    <w:p>
      <w:pPr>
        <w:jc w:val="center"/>
        <w:rPr>
          <w:rFonts w:ascii="宋体" w:hAnsi="宋体" w:eastAsia="宋体"/>
          <w:b/>
          <w:color w:val="000000"/>
          <w:sz w:val="44"/>
        </w:rPr>
      </w:pPr>
      <w:r>
        <w:rPr>
          <w:rFonts w:hint="eastAsia" w:ascii="宋体" w:hAnsi="宋体" w:eastAsia="宋体"/>
          <w:b/>
          <w:color w:val="000000"/>
          <w:sz w:val="44"/>
        </w:rPr>
        <w:t>唐山高新技术产业开发区人民检察院职责任务与目标</w:t>
      </w:r>
    </w:p>
    <w:p>
      <w:pPr>
        <w:spacing w:line="480" w:lineRule="auto"/>
        <w:rPr>
          <w:rFonts w:ascii="宋体" w:hAnsi="宋体" w:eastAsia="宋体"/>
          <w:b/>
          <w:color w:val="000000"/>
          <w:sz w:val="28"/>
        </w:rPr>
      </w:pPr>
      <w:r>
        <w:rPr>
          <w:rFonts w:ascii="宋体" w:hAnsi="宋体" w:eastAsia="宋体"/>
          <w:b/>
          <w:color w:val="000000"/>
          <w:sz w:val="28"/>
        </w:rPr>
        <w:t>一、主要职责</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1、依法对叛国案、分裂国家以及严重破坏国家的政策、法律、政令统一实施的重大犯罪案件行使检察权。</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2、对直接受理的国家工作人员利用职权实施的犯罪案件，进行侦查。</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3、对公安机关、国家安全机关等侦查机关侦查的案件进行审查，决定是否逮捕、起诉或者不起诉;并对侦查机关的侦查活动是否合法实施监督。</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4、对刑事案件提起公诉、支持公诉；对人民法院的形式判决、裁定是否正确和审判活动是否合法实行监督。</w:t>
      </w:r>
    </w:p>
    <w:p>
      <w:pPr>
        <w:spacing w:line="360" w:lineRule="auto"/>
        <w:rPr>
          <w:rFonts w:ascii="仿宋_GB2312" w:hAnsi="宋体" w:eastAsia="仿宋_GB2312"/>
          <w:sz w:val="30"/>
          <w:szCs w:val="30"/>
        </w:rPr>
      </w:pPr>
      <w:r>
        <w:rPr>
          <w:rFonts w:hint="eastAsia" w:ascii="仿宋_GB2312" w:hAnsi="宋体" w:eastAsia="仿宋_GB2312"/>
          <w:sz w:val="30"/>
          <w:szCs w:val="30"/>
        </w:rPr>
        <w:t xml:space="preserve">    5、对人民法院的民事审判活动实行法律监督，对人民法院已经发生效力的判决、裁定，发现违反法律、法规规定的，依法提出抗诉。</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6、对行政诉讼实行法律监督。对人民法院已经发生效率的判决、裁定发现违反法律规定的，依法提出抗诉。</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7、依法完成上级院交办的其他工作任务。</w:t>
      </w:r>
    </w:p>
    <w:p>
      <w:pPr>
        <w:spacing w:line="360" w:lineRule="auto"/>
        <w:rPr>
          <w:rFonts w:ascii="仿宋_GB2312" w:hAnsi="宋体" w:eastAsia="仿宋_GB2312"/>
          <w:b/>
          <w:sz w:val="30"/>
          <w:szCs w:val="30"/>
        </w:rPr>
      </w:pPr>
      <w:r>
        <w:rPr>
          <w:rFonts w:hint="eastAsia" w:ascii="仿宋_GB2312" w:hAnsi="宋体" w:eastAsia="仿宋_GB2312"/>
          <w:b/>
          <w:sz w:val="30"/>
          <w:szCs w:val="30"/>
        </w:rPr>
        <w:t>办公室</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负责本院的综合性事务</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1.协助院领导处理检察事务，组织协调院重要工作部署、决策的贯彻实施，组织安排机关重要会议和重大活动。</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2.文件起草、管理、印制。</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3.本院印章、制式文书的保管和使用。</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4.检察信息的处理、编报和检察网络更新。</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5.处理机要文、电、传真、信件的收发。</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6.档案管理、保密工作。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7.机关的重要接待事务和外事工作。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8.学习、值班等集体活动的通知、组织、服务。</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9.本院计财工作。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10.本院日常行政管理和各项制度的检查落实工作。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11.干部队伍管理、新闻宣传、教育培训、纪检监察等工作。</w:t>
      </w:r>
    </w:p>
    <w:p>
      <w:pPr>
        <w:spacing w:line="360" w:lineRule="auto"/>
        <w:rPr>
          <w:rFonts w:ascii="仿宋_GB2312" w:hAnsi="宋体" w:eastAsia="仿宋_GB2312"/>
          <w:b/>
          <w:sz w:val="30"/>
          <w:szCs w:val="30"/>
        </w:rPr>
      </w:pPr>
      <w:r>
        <w:rPr>
          <w:rFonts w:hint="eastAsia" w:ascii="仿宋_GB2312" w:hAnsi="宋体" w:eastAsia="仿宋_GB2312"/>
          <w:b/>
          <w:sz w:val="30"/>
          <w:szCs w:val="30"/>
        </w:rPr>
        <w:t>刑事检察处</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1.辖区内刑事犯罪案件犯罪嫌疑人的审查批捕、决定逮捕和社会治安综合治理工作。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2.审查起诉、抗诉、出庭公诉工作，依法履行立案监督、侦查活动监督、审判监督职能。</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3.开展未成年人犯罪检察工作、未成年人受害人权利保护工作和未成年人犯罪预防工作。</w:t>
      </w:r>
    </w:p>
    <w:p>
      <w:pPr>
        <w:spacing w:line="360" w:lineRule="auto"/>
        <w:rPr>
          <w:rFonts w:ascii="仿宋_GB2312" w:hAnsi="宋体" w:eastAsia="仿宋_GB2312"/>
          <w:b/>
          <w:sz w:val="30"/>
          <w:szCs w:val="30"/>
        </w:rPr>
      </w:pPr>
      <w:r>
        <w:rPr>
          <w:rFonts w:hint="eastAsia" w:ascii="仿宋_GB2312" w:hAnsi="宋体" w:eastAsia="仿宋_GB2312"/>
          <w:b/>
          <w:sz w:val="30"/>
          <w:szCs w:val="30"/>
        </w:rPr>
        <w:t>民事行政检察处</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1.对本级人民法院已经发生法律效力、确有错误的民事、行政判决和裁定，按审判监督程序提出抗诉或提请上级检察院提出抗诉</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2.受理不服已经发生法律效力的民事案件、行政诉讼的当事人向检察机关提出的申诉案件，依法调查审判人员在审查民事案件、行政诉讼案件中的徇私舞弊、枉法裁判等行为，查证属实的移送职务犯罪侦查部门。</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3.本预案的申告工作，受理辖区内公民的举报、控告、申诉。</w:t>
      </w:r>
    </w:p>
    <w:p>
      <w:pPr>
        <w:spacing w:line="360" w:lineRule="auto"/>
        <w:rPr>
          <w:rFonts w:ascii="仿宋_GB2312" w:eastAsia="仿宋_GB2312"/>
          <w:sz w:val="30"/>
          <w:szCs w:val="30"/>
        </w:rPr>
      </w:pPr>
      <w:r>
        <w:rPr>
          <w:rFonts w:hint="eastAsia" w:ascii="仿宋_GB2312" w:hAnsi="宋体" w:eastAsia="仿宋_GB2312"/>
          <w:b/>
          <w:sz w:val="30"/>
          <w:szCs w:val="30"/>
        </w:rPr>
        <w:t>案件管理办公室</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统一负责案件受理、流转；统一负责办案流程监控；统一负责涉案财物监管；统一负责以本院名义制发的法律文书的监管；统一负责接待辩护人、诉讼代理人；统一负责组织办案质量评查和综合业务考评；统一负责业务统计、分析；对执法办案风险评估预警工作进行组织协调和督促检查；开展执法规范化建设等。</w:t>
      </w:r>
    </w:p>
    <w:p>
      <w:pPr>
        <w:spacing w:line="360" w:lineRule="auto"/>
        <w:rPr>
          <w:rFonts w:ascii="仿宋_GB2312" w:hAnsi="宋体" w:eastAsia="仿宋_GB2312"/>
          <w:b/>
          <w:sz w:val="30"/>
          <w:szCs w:val="30"/>
        </w:rPr>
      </w:pPr>
      <w:r>
        <w:rPr>
          <w:rFonts w:hint="eastAsia" w:ascii="仿宋_GB2312" w:hAnsi="宋体" w:eastAsia="仿宋_GB2312"/>
          <w:b/>
          <w:sz w:val="30"/>
          <w:szCs w:val="30"/>
        </w:rPr>
        <w:t>侦查监督处</w:t>
      </w:r>
    </w:p>
    <w:p>
      <w:pPr>
        <w:spacing w:line="360" w:lineRule="auto"/>
        <w:ind w:firstLine="555" w:firstLineChars="185"/>
        <w:rPr>
          <w:rFonts w:ascii="仿宋_GB2312" w:hAnsi="宋体" w:eastAsia="仿宋_GB2312"/>
          <w:sz w:val="30"/>
          <w:szCs w:val="30"/>
        </w:rPr>
      </w:pPr>
      <w:r>
        <w:rPr>
          <w:rFonts w:hint="eastAsia" w:ascii="仿宋_GB2312" w:hAnsi="宋体" w:eastAsia="仿宋_GB2312"/>
          <w:sz w:val="30"/>
          <w:szCs w:val="30"/>
        </w:rPr>
        <w:t>1、审查逮捕，对于公安机关提请逮捕和本院公诉处移送审查逮捕的案件进行审查，决定是否逮捕犯罪嫌疑人的一种诉讼活动。</w:t>
      </w:r>
    </w:p>
    <w:p>
      <w:pPr>
        <w:spacing w:line="360" w:lineRule="auto"/>
        <w:ind w:firstLine="555" w:firstLineChars="185"/>
        <w:rPr>
          <w:rFonts w:ascii="仿宋_GB2312" w:hAnsi="宋体" w:eastAsia="仿宋_GB2312"/>
          <w:sz w:val="30"/>
          <w:szCs w:val="30"/>
        </w:rPr>
      </w:pPr>
      <w:r>
        <w:rPr>
          <w:rFonts w:hint="eastAsia" w:ascii="仿宋_GB2312" w:hAnsi="宋体" w:eastAsia="仿宋_GB2312"/>
          <w:sz w:val="30"/>
          <w:szCs w:val="30"/>
        </w:rPr>
        <w:t>2、刑事立案监督，对于公安机关和本院自侦部门的立案活动是否合法进行的监督。</w:t>
      </w:r>
    </w:p>
    <w:p>
      <w:pPr>
        <w:spacing w:line="360" w:lineRule="auto"/>
        <w:ind w:firstLine="555" w:firstLineChars="185"/>
        <w:rPr>
          <w:rFonts w:ascii="仿宋_GB2312" w:hAnsi="宋体" w:eastAsia="仿宋_GB2312"/>
          <w:sz w:val="30"/>
          <w:szCs w:val="30"/>
        </w:rPr>
      </w:pPr>
      <w:r>
        <w:rPr>
          <w:rFonts w:hint="eastAsia" w:ascii="仿宋_GB2312" w:hAnsi="宋体" w:eastAsia="仿宋_GB2312"/>
          <w:sz w:val="30"/>
          <w:szCs w:val="30"/>
        </w:rPr>
        <w:t>3、侦查活动监督，对于公安机关、本院自侦部门侦查活动中的违法行为的监督。</w:t>
      </w:r>
    </w:p>
    <w:p>
      <w:pPr>
        <w:spacing w:line="360" w:lineRule="auto"/>
        <w:ind w:firstLine="555" w:firstLineChars="185"/>
        <w:rPr>
          <w:rFonts w:ascii="仿宋_GB2312" w:hAnsi="宋体" w:eastAsia="仿宋_GB2312"/>
          <w:sz w:val="30"/>
          <w:szCs w:val="30"/>
        </w:rPr>
      </w:pPr>
      <w:r>
        <w:rPr>
          <w:rFonts w:hint="eastAsia" w:ascii="仿宋_GB2312" w:hAnsi="宋体" w:eastAsia="仿宋_GB2312"/>
          <w:sz w:val="30"/>
          <w:szCs w:val="30"/>
        </w:rPr>
        <w:t>4、环保检查、“两法衔接”、扫黑除恶、综合治理等工作。</w:t>
      </w:r>
    </w:p>
    <w:p>
      <w:pPr>
        <w:rPr>
          <w:szCs w:val="21"/>
        </w:rPr>
      </w:pPr>
    </w:p>
    <w:p>
      <w:pPr>
        <w:spacing w:line="480" w:lineRule="auto"/>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600" w:firstLineChars="200"/>
        <w:rPr>
          <w:rFonts w:ascii="仿宋_GB2312" w:hAnsi="宋体" w:eastAsia="仿宋_GB2312"/>
          <w:sz w:val="30"/>
          <w:szCs w:val="30"/>
        </w:rPr>
      </w:pPr>
      <w:r>
        <w:rPr>
          <w:rFonts w:hint="eastAsia" w:ascii="仿宋_GB2312" w:hAnsi="宋体" w:eastAsia="仿宋_GB2312" w:cs="仿宋"/>
          <w:sz w:val="30"/>
          <w:szCs w:val="30"/>
        </w:rPr>
        <w:t>我院将继续在区党工委和市院的正确领导下，在区管委会的大力支持下，</w:t>
      </w:r>
      <w:r>
        <w:rPr>
          <w:rFonts w:hint="eastAsia" w:ascii="仿宋_GB2312" w:hAnsi="宋体" w:eastAsia="仿宋_GB2312"/>
          <w:sz w:val="30"/>
          <w:szCs w:val="30"/>
        </w:rPr>
        <w:t>紧紧围绕“强化法律监督、维护公平正义”的检察工作主题，深入领会“政治建检、业务立检、公信树检、素质兴检、科技强检”的全省检察工作总体思路，</w:t>
      </w:r>
      <w:r>
        <w:rPr>
          <w:rFonts w:hint="eastAsia" w:ascii="仿宋_GB2312" w:hAnsi="宋体" w:eastAsia="仿宋_GB2312" w:cs="仿宋"/>
          <w:sz w:val="30"/>
          <w:szCs w:val="30"/>
        </w:rPr>
        <w:t>有效提升各项检察工作水平，为实现“全省领先、全国一流”的全市检察工作目标和</w:t>
      </w:r>
      <w:r>
        <w:rPr>
          <w:rFonts w:hint="eastAsia" w:ascii="仿宋_GB2312" w:hAnsi="宋体" w:eastAsia="仿宋_GB2312"/>
          <w:bCs/>
          <w:sz w:val="30"/>
          <w:szCs w:val="30"/>
        </w:rPr>
        <w:t>“建设经济强区、科技新城、幸福高新”的区域发展目标</w:t>
      </w:r>
      <w:r>
        <w:rPr>
          <w:rFonts w:hint="eastAsia" w:ascii="仿宋_GB2312" w:hAnsi="宋体" w:eastAsia="仿宋_GB2312" w:cs="仿宋"/>
          <w:sz w:val="30"/>
          <w:szCs w:val="30"/>
        </w:rPr>
        <w:t>努力奋进。</w:t>
      </w:r>
    </w:p>
    <w:p>
      <w:pPr>
        <w:spacing w:line="360" w:lineRule="auto"/>
        <w:ind w:firstLine="600" w:firstLineChars="200"/>
        <w:rPr>
          <w:rFonts w:ascii="仿宋_GB2312" w:hAnsi="宋体" w:eastAsia="仿宋_GB2312"/>
          <w:sz w:val="30"/>
          <w:szCs w:val="30"/>
        </w:rPr>
      </w:pPr>
      <w:r>
        <w:rPr>
          <w:rFonts w:hint="eastAsia" w:ascii="仿宋_GB2312" w:hAnsi="宋体" w:eastAsia="仿宋_GB2312" w:cs="宋体"/>
          <w:sz w:val="30"/>
          <w:szCs w:val="30"/>
        </w:rPr>
        <w:t>1、努力加强队伍建设</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按照全市政法系统推进正规化、专业化、职业化建设和高新区党工委建设学习型、创新型、服务型、担当型、廉政型、团结型检察机关要求，结合政法系统正反典型教育，努力打造风清气正、廉洁司法的检察队伍。以提高领导水平和法律监督能力为核心，着力建设坚定贯彻党的理论和路线方针政策、善于领导科学发展的领导班子，努力形成朝气蓬勃、奋发有为的坚强领导集体。积极开展正规化岗位培训，加强业务一线人员特别是执法办案骨干的专项业务培训和岗位技能培训，抓好各类新进新任人员的上岗培训、任职培训，加强电子检务、计算机运用等通用技能培训，努力铸造专业、规范、高效、进取的干警队伍。</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w:t>
      </w:r>
      <w:r>
        <w:rPr>
          <w:rFonts w:hint="eastAsia" w:ascii="仿宋_GB2312" w:hAnsi="宋体" w:eastAsia="仿宋_GB2312" w:cs="宋体"/>
          <w:sz w:val="30"/>
          <w:szCs w:val="30"/>
        </w:rPr>
        <w:t>认真开展检务公开工作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按照全市司法公开工作整体部署，在检务公开大厅实际运行中进一步完善设施建设，把接待等候、业务咨询、控告举报申诉受理、律师接待、视频接访、行贿犯罪档案查询、案件信息查询、12309举报电话等工作整合在检务公开大厅，实现“一站式”服务；建设互联网公开平台，全面推行终结性法律文书网上公开、检察权网上公开、案件流程信息网络查询，建立良性互动参与机制，及时答复群众诉求、妥善处置网络舆情，营造良好舆论氛围。通过推进检务公开工作，切实实现正能量传播、规范透明、便民利民的良好效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w:t>
      </w:r>
      <w:r>
        <w:rPr>
          <w:rFonts w:hint="eastAsia" w:ascii="仿宋_GB2312" w:hAnsi="宋体" w:eastAsia="仿宋_GB2312" w:cs="宋体"/>
          <w:sz w:val="30"/>
          <w:szCs w:val="30"/>
        </w:rPr>
        <w:t>积极参与各类社会治安问题整治工作</w:t>
      </w:r>
    </w:p>
    <w:p>
      <w:pPr>
        <w:spacing w:line="360" w:lineRule="auto"/>
        <w:rPr>
          <w:rFonts w:ascii="仿宋_GB2312" w:hAnsi="宋体" w:eastAsia="仿宋_GB2312"/>
          <w:sz w:val="30"/>
          <w:szCs w:val="30"/>
        </w:rPr>
      </w:pPr>
      <w:r>
        <w:rPr>
          <w:rFonts w:hint="eastAsia" w:ascii="仿宋_GB2312" w:hAnsi="宋体" w:eastAsia="仿宋_GB2312"/>
          <w:sz w:val="30"/>
          <w:szCs w:val="30"/>
        </w:rPr>
        <w:t xml:space="preserve">    充分发挥检察机关在社会治理中的法治保障作用，坚持系统治理、依法治理、综合治理、源头治理，结合执法办案深入分析研判犯罪规律、特点和趋势，及时向高新区党工委、管委会和相关部门提出加强和改进社会管理、防范违法犯罪的检察建议，积极参与高新区党工委、管委会部署的各类社会治安问题专项整治工作，加强与其他政法综治部门和行政执法部门的协调配合，促进构建高新区立体化社会治安防控体系。充分发挥宽严相济等刑事政策在化解社会矛盾中的重要作用，正确把握法律政策界限和宽严尺度，切实做到该严则严、当宽则宽、宽严适度。充分运用刑事和解、简易程序、量刑建议和不批捕、不起诉、附条件不起诉等机制和措施，着力提升化解社会矛盾的能力，努力实现案结事了人和，促进社会和谐稳定。</w:t>
      </w:r>
    </w:p>
    <w:p>
      <w:pPr>
        <w:rPr>
          <w:szCs w:val="21"/>
        </w:rPr>
      </w:pPr>
    </w:p>
    <w:p>
      <w:pPr>
        <w:spacing w:line="360" w:lineRule="auto"/>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11"/>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rPr>
                <w:rFonts w:ascii="黑体" w:eastAsia="黑体"/>
                <w:b/>
              </w:rPr>
            </w:pPr>
            <w:r>
              <w:rPr>
                <w:rFonts w:ascii="宋体" w:hAnsi="宋体"/>
                <w:sz w:val="28"/>
              </w:rPr>
              <w:t>305004唐山高新技术产业开发区人民检察院</w:t>
            </w:r>
          </w:p>
        </w:tc>
        <w:tc>
          <w:tcPr>
            <w:tcW w:w="3022" w:type="dxa"/>
            <w:tcBorders>
              <w:bottom w:val="single" w:color="auto" w:sz="4" w:space="0"/>
            </w:tcBorders>
            <w:shd w:val="clear" w:color="auto" w:fill="auto"/>
            <w:noWrap/>
            <w:vAlign w:val="center"/>
          </w:tcPr>
          <w:p>
            <w:pPr>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624"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Arial"/>
                <w:b/>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Arial"/>
                <w:b/>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Arial"/>
                <w:b/>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430"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rPr>
            </w:pPr>
          </w:p>
        </w:tc>
      </w:tr>
      <w:tr>
        <w:tblPrEx>
          <w:tblCellMar>
            <w:top w:w="0" w:type="dxa"/>
            <w:left w:w="108" w:type="dxa"/>
            <w:bottom w:w="0" w:type="dxa"/>
            <w:right w:w="108" w:type="dxa"/>
          </w:tblCellMar>
        </w:tblPrEx>
        <w:trPr>
          <w:cantSplit/>
          <w:trHeight w:val="453"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218.38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218.38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218.38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218.38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177.16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177.15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0.01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41.22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r>
              <w:rPr>
                <w:rFonts w:ascii="Arial" w:hAnsi="Arial" w:cs="Arial"/>
                <w:szCs w:val="21"/>
              </w:rPr>
              <w:t>41.22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Cs w:val="21"/>
              </w:rPr>
            </w:pPr>
            <w:r>
              <w:rPr>
                <w:rFonts w:hint="eastAsia" w:ascii="Arial" w:hAnsi="Arial" w:cs="Arial"/>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w:hAnsi="Arial" w:cs="Arial"/>
                <w:szCs w:val="21"/>
              </w:rPr>
            </w:pPr>
          </w:p>
        </w:tc>
      </w:tr>
    </w:tbl>
    <w:p>
      <w:pPr>
        <w:spacing w:line="20" w:lineRule="exact"/>
      </w:pPr>
    </w:p>
    <w:p>
      <w:pPr>
        <w:spacing w:line="360" w:lineRule="auto"/>
        <w:rPr>
          <w:rFonts w:ascii="宋体" w:hAnsi="宋体" w:eastAsia="宋体"/>
          <w:b/>
          <w:color w:val="000000"/>
          <w:sz w:val="28"/>
        </w:rPr>
        <w:sectPr>
          <w:headerReference r:id="rId16" w:type="default"/>
          <w:pgSz w:w="11906" w:h="16838"/>
          <w:pgMar w:top="1440" w:right="1800" w:bottom="1440" w:left="180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单位人员经费支出安排表</w:t>
      </w:r>
    </w:p>
    <w:tbl>
      <w:tblPr>
        <w:tblStyle w:val="11"/>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rPr>
                <w:rFonts w:ascii="宋体" w:hAnsi="宋体" w:cs="宋体"/>
                <w:color w:val="000000"/>
                <w:sz w:val="28"/>
                <w:szCs w:val="28"/>
              </w:rPr>
            </w:pPr>
            <w:r>
              <w:rPr>
                <w:rFonts w:ascii="宋体" w:hAnsi="宋体" w:cs="宋体"/>
                <w:color w:val="000000"/>
                <w:sz w:val="28"/>
                <w:szCs w:val="28"/>
              </w:rPr>
              <w:t>305004唐山高新技术产业开发区人民检察院</w:t>
            </w:r>
          </w:p>
        </w:tc>
        <w:tc>
          <w:tcPr>
            <w:tcW w:w="3115" w:type="dxa"/>
            <w:gridSpan w:val="3"/>
            <w:tcBorders>
              <w:top w:val="nil"/>
              <w:left w:val="nil"/>
              <w:bottom w:val="single" w:color="auto" w:sz="4" w:space="0"/>
              <w:right w:val="nil"/>
            </w:tcBorders>
            <w:shd w:val="clear" w:color="auto" w:fill="auto"/>
            <w:noWrap/>
            <w:vAlign w:val="bottom"/>
          </w:tcPr>
          <w:p>
            <w:pPr>
              <w:jc w:val="right"/>
              <w:rPr>
                <w:rFonts w:ascii="宋体" w:hAnsi="宋体" w:cs="宋体"/>
                <w:color w:val="000000"/>
                <w:sz w:val="28"/>
                <w:szCs w:val="28"/>
              </w:rPr>
            </w:pPr>
            <w:r>
              <w:rPr>
                <w:rFonts w:hint="eastAsia" w:ascii="宋体" w:hAnsi="宋体" w:cs="宋体"/>
                <w:color w:val="00000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 费 来 源</w:t>
            </w:r>
          </w:p>
        </w:tc>
      </w:tr>
      <w:tr>
        <w:tblPrEx>
          <w:tblCellMar>
            <w:top w:w="0" w:type="dxa"/>
            <w:left w:w="108" w:type="dxa"/>
            <w:bottom w:w="0" w:type="dxa"/>
            <w:right w:w="108" w:type="dxa"/>
          </w:tblCellMar>
        </w:tblPrEx>
        <w:trPr>
          <w:cantSplit/>
          <w:trHeight w:val="624"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高中及其以上教育收费</w:t>
            </w: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177.16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177.16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177.15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177.15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55.48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55.48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69.80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69.80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18.87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18.87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28.30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28.30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10.93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10.93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34.38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34.38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7.58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8.66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8.66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0.27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12.87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12.87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bl>
    <w:p/>
    <w:p>
      <w:pPr>
        <w:spacing w:line="360" w:lineRule="auto"/>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单位正常公用经费支出安排表</w:t>
      </w:r>
    </w:p>
    <w:tbl>
      <w:tblPr>
        <w:tblStyle w:val="11"/>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rPr>
                <w:rFonts w:ascii="宋体" w:hAnsi="宋体" w:cs="宋体"/>
                <w:color w:val="000000"/>
                <w:sz w:val="28"/>
                <w:szCs w:val="28"/>
              </w:rPr>
            </w:pPr>
            <w:r>
              <w:rPr>
                <w:rFonts w:ascii="宋体" w:hAnsi="宋体" w:cs="宋体"/>
                <w:color w:val="000000"/>
                <w:sz w:val="28"/>
                <w:szCs w:val="28"/>
              </w:rPr>
              <w:t>305004唐山高新技术产业开发区人民检察院</w:t>
            </w:r>
          </w:p>
        </w:tc>
        <w:tc>
          <w:tcPr>
            <w:tcW w:w="3115" w:type="dxa"/>
            <w:gridSpan w:val="3"/>
            <w:tcBorders>
              <w:top w:val="nil"/>
              <w:left w:val="nil"/>
              <w:bottom w:val="single" w:color="auto" w:sz="4" w:space="0"/>
              <w:right w:val="nil"/>
            </w:tcBorders>
            <w:shd w:val="clear" w:color="auto" w:fill="auto"/>
            <w:noWrap/>
            <w:vAlign w:val="bottom"/>
          </w:tcPr>
          <w:p>
            <w:pPr>
              <w:jc w:val="right"/>
              <w:rPr>
                <w:rFonts w:ascii="宋体" w:hAnsi="宋体" w:cs="宋体"/>
                <w:color w:val="000000"/>
                <w:sz w:val="28"/>
                <w:szCs w:val="28"/>
              </w:rPr>
            </w:pPr>
            <w:r>
              <w:rPr>
                <w:rFonts w:hint="eastAsia" w:ascii="宋体" w:hAnsi="宋体" w:cs="宋体"/>
                <w:color w:val="00000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 费 来 源</w:t>
            </w:r>
          </w:p>
        </w:tc>
      </w:tr>
      <w:tr>
        <w:tblPrEx>
          <w:tblCellMar>
            <w:top w:w="0" w:type="dxa"/>
            <w:left w:w="108" w:type="dxa"/>
            <w:bottom w:w="0" w:type="dxa"/>
            <w:right w:w="108" w:type="dxa"/>
          </w:tblCellMar>
        </w:tblPrEx>
        <w:trPr>
          <w:cantSplit/>
          <w:trHeight w:val="624"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高中及其以上教育收费</w:t>
            </w: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485"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41.22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41.22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37.15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37.15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1.71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1.81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1.81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6.47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9.42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9.42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4.07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w:t>
            </w:r>
            <w:r>
              <w:rPr>
                <w:rFonts w:ascii="宋体" w:hAnsi="宋体" w:cs="宋体"/>
                <w:color w:val="000000"/>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2040401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bl>
    <w:p/>
    <w:p>
      <w:pPr>
        <w:spacing w:line="360" w:lineRule="auto"/>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11"/>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rPr>
                <w:rFonts w:ascii="宋体" w:hAnsi="宋体" w:cs="宋体"/>
                <w:color w:val="000000"/>
                <w:sz w:val="28"/>
                <w:szCs w:val="28"/>
              </w:rPr>
            </w:pPr>
            <w:r>
              <w:rPr>
                <w:rFonts w:ascii="宋体" w:hAnsi="宋体" w:cs="宋体"/>
                <w:color w:val="000000"/>
                <w:sz w:val="28"/>
                <w:szCs w:val="28"/>
              </w:rPr>
              <w:t>305004唐山高新技术产业开发区人民检察院</w:t>
            </w:r>
          </w:p>
        </w:tc>
        <w:tc>
          <w:tcPr>
            <w:tcW w:w="4020" w:type="dxa"/>
            <w:gridSpan w:val="4"/>
            <w:tcBorders>
              <w:top w:val="nil"/>
              <w:left w:val="nil"/>
              <w:bottom w:val="single" w:color="auto" w:sz="4" w:space="0"/>
              <w:right w:val="nil"/>
            </w:tcBorders>
            <w:shd w:val="clear" w:color="auto" w:fill="auto"/>
            <w:noWrap/>
            <w:vAlign w:val="bottom"/>
          </w:tcPr>
          <w:p>
            <w:pPr>
              <w:jc w:val="right"/>
              <w:rPr>
                <w:rFonts w:ascii="宋体" w:hAnsi="宋体" w:cs="宋体"/>
                <w:color w:val="000000"/>
                <w:sz w:val="28"/>
                <w:szCs w:val="28"/>
              </w:rPr>
            </w:pPr>
            <w:r>
              <w:rPr>
                <w:rFonts w:hint="eastAsia" w:ascii="宋体" w:hAnsi="宋体" w:cs="宋体"/>
                <w:color w:val="00000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Arial"/>
                <w:b/>
                <w:bCs/>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经费来源</w:t>
            </w:r>
          </w:p>
        </w:tc>
      </w:tr>
      <w:tr>
        <w:tblPrEx>
          <w:tblCellMar>
            <w:top w:w="0" w:type="dxa"/>
            <w:left w:w="108" w:type="dxa"/>
            <w:bottom w:w="0" w:type="dxa"/>
            <w:right w:w="108" w:type="dxa"/>
          </w:tblCellMar>
        </w:tblPrEx>
        <w:trPr>
          <w:cantSplit/>
          <w:trHeight w:val="624"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
                <w:color w:val="00000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color w:val="000000"/>
                <w:szCs w:val="21"/>
              </w:rPr>
            </w:pPr>
            <w:r>
              <w:rPr>
                <w:rFonts w:hint="eastAsia" w:ascii="黑体" w:hAnsi="黑体" w:eastAsia="黑体" w:cs="宋体"/>
                <w:b/>
                <w:color w:val="000000"/>
                <w:szCs w:val="21"/>
              </w:rPr>
              <w:t>高中及其以上教育收费</w:t>
            </w:r>
          </w:p>
        </w:tc>
      </w:tr>
      <w:tr>
        <w:tblPrEx>
          <w:tblCellMar>
            <w:top w:w="0" w:type="dxa"/>
            <w:left w:w="108" w:type="dxa"/>
            <w:bottom w:w="0" w:type="dxa"/>
            <w:right w:w="108" w:type="dxa"/>
          </w:tblCellMar>
        </w:tblPrEx>
        <w:trPr>
          <w:cantSplit/>
          <w:trHeight w:val="485"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485"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7.42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7.00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0.42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1.03</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r>
              <w:rPr>
                <w:rFonts w:ascii="宋体" w:hAnsi="宋体" w:cs="宋体"/>
                <w:color w:val="000000"/>
              </w:rPr>
              <w:t>8.45</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360" w:lineRule="auto"/>
        <w:rPr>
          <w:rFonts w:ascii="宋体" w:hAnsi="宋体" w:eastAsia="宋体"/>
          <w:b/>
          <w:color w:val="000000"/>
          <w:sz w:val="28"/>
        </w:rPr>
        <w:sectPr>
          <w:headerReference r:id="rId17"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1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rPr>
                <w:rFonts w:ascii="黑体" w:eastAsia="黑体"/>
                <w:b/>
              </w:rPr>
            </w:pPr>
            <w:r>
              <w:rPr>
                <w:rFonts w:ascii="宋体" w:hAnsi="宋体"/>
                <w:sz w:val="28"/>
              </w:rPr>
              <w:t>305004唐山高新技术产业开发区人民检察院</w:t>
            </w:r>
          </w:p>
        </w:tc>
        <w:tc>
          <w:tcPr>
            <w:tcW w:w="1643" w:type="dxa"/>
            <w:gridSpan w:val="2"/>
            <w:tcBorders>
              <w:top w:val="nil"/>
              <w:left w:val="nil"/>
              <w:right w:val="nil"/>
            </w:tcBorders>
            <w:shd w:val="clear" w:color="auto" w:fill="auto"/>
            <w:noWrap/>
            <w:vAlign w:val="center"/>
          </w:tcPr>
          <w:p>
            <w:pPr>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624"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624"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rPr>
                <w:rFonts w:ascii="黑体" w:hAnsi="黑体" w:eastAsia="黑体" w:cs="宋体"/>
                <w:b/>
                <w:bCs/>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485"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hint="eastAsia" w:ascii="宋体" w:hAnsi="宋体" w:cs="宋体"/>
                <w:bCs/>
                <w:color w:val="000000"/>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r>
              <w:rPr>
                <w:rFonts w:ascii="宋体" w:hAnsi="宋体" w:cs="宋体"/>
                <w:bCs/>
                <w:color w:val="000000"/>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r>
              <w:rPr>
                <w:rFonts w:ascii="宋体" w:hAnsi="宋体" w:cs="宋体"/>
                <w:bCs/>
                <w:color w:val="000000"/>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Cs/>
                <w:color w:val="000000"/>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cs="宋体"/>
                <w:bCs/>
                <w:color w:val="000000"/>
              </w:rPr>
            </w:pPr>
          </w:p>
        </w:tc>
      </w:tr>
    </w:tbl>
    <w:p/>
    <w:p>
      <w:pPr>
        <w:spacing w:line="360" w:lineRule="auto"/>
        <w:rPr>
          <w:rFonts w:ascii="宋体" w:hAnsi="宋体" w:eastAsia="宋体"/>
          <w:b/>
          <w:color w:val="000000"/>
          <w:sz w:val="28"/>
        </w:rPr>
        <w:sectPr>
          <w:headerReference r:id="rId18"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11"/>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rPr>
                <w:rFonts w:ascii="黑体" w:hAnsi="黑体" w:eastAsia="黑体" w:cs="宋体"/>
                <w:b/>
                <w:bCs/>
                <w:color w:val="000000"/>
                <w:szCs w:val="21"/>
              </w:rPr>
            </w:pPr>
            <w:r>
              <w:rPr>
                <w:rFonts w:ascii="宋体" w:hAnsi="宋体"/>
                <w:sz w:val="28"/>
              </w:rPr>
              <w:t>305004唐山高新技术产业开发区人民检察院</w:t>
            </w:r>
          </w:p>
        </w:tc>
      </w:tr>
      <w:tr>
        <w:tblPrEx>
          <w:tblCellMar>
            <w:top w:w="0" w:type="dxa"/>
            <w:left w:w="108" w:type="dxa"/>
            <w:bottom w:w="0" w:type="dxa"/>
            <w:right w:w="108" w:type="dxa"/>
          </w:tblCellMar>
        </w:tblPrEx>
        <w:trPr>
          <w:cantSplit/>
          <w:trHeight w:val="624"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备  注</w:t>
            </w:r>
          </w:p>
        </w:tc>
      </w:tr>
      <w:tr>
        <w:tblPrEx>
          <w:tblCellMar>
            <w:top w:w="0" w:type="dxa"/>
            <w:left w:w="108" w:type="dxa"/>
            <w:bottom w:w="0" w:type="dxa"/>
            <w:right w:w="108" w:type="dxa"/>
          </w:tblCellMar>
        </w:tblPrEx>
        <w:trPr>
          <w:cantSplit/>
          <w:trHeight w:val="624"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宋体"/>
                <w:b/>
                <w:bCs/>
                <w:color w:val="000000"/>
                <w:szCs w:val="21"/>
              </w:rPr>
            </w:pPr>
          </w:p>
        </w:tc>
      </w:tr>
      <w:tr>
        <w:tblPrEx>
          <w:tblCellMar>
            <w:top w:w="0" w:type="dxa"/>
            <w:left w:w="108" w:type="dxa"/>
            <w:bottom w:w="0" w:type="dxa"/>
            <w:right w:w="108" w:type="dxa"/>
          </w:tblCellMar>
        </w:tblPrEx>
        <w:trPr>
          <w:cantSplit/>
          <w:trHeight w:val="485"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行政机关</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r>
              <w:rPr>
                <w:rFonts w:ascii="宋体" w:hAnsi="宋体" w:cs="宋体"/>
                <w:color w:val="000000"/>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ascii="宋体" w:hAnsi="宋体" w:cs="宋体"/>
                <w:color w:val="000000"/>
              </w:rPr>
              <w:t>1748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rPr>
            </w:pPr>
          </w:p>
        </w:tc>
      </w:tr>
    </w:tbl>
    <w:p/>
    <w:p>
      <w:pPr>
        <w:spacing w:line="360" w:lineRule="auto"/>
        <w:rPr>
          <w:rFonts w:ascii="宋体" w:hAnsi="宋体" w:eastAsia="宋体"/>
          <w:b/>
          <w:color w:val="000000"/>
          <w:sz w:val="28"/>
        </w:rPr>
        <w:sectPr>
          <w:headerReference r:id="rId19"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唐山高新技术产业开发区人民检察院收支预算说明</w:t>
      </w:r>
    </w:p>
    <w:p>
      <w:pPr>
        <w:spacing w:line="480" w:lineRule="auto"/>
        <w:rPr>
          <w:rFonts w:ascii="宋体" w:hAnsi="宋体" w:eastAsia="宋体"/>
          <w:b/>
          <w:color w:val="000000"/>
          <w:sz w:val="28"/>
        </w:rPr>
      </w:pPr>
      <w:r>
        <w:rPr>
          <w:rFonts w:ascii="宋体" w:hAnsi="宋体" w:eastAsia="宋体"/>
          <w:b/>
          <w:color w:val="000000"/>
          <w:sz w:val="28"/>
        </w:rPr>
        <w:t>一、收入预算说明</w:t>
      </w:r>
    </w:p>
    <w:p/>
    <w:p>
      <w:pPr>
        <w:spacing w:line="360" w:lineRule="auto"/>
        <w:rPr>
          <w:rFonts w:ascii="宋体" w:hAnsi="宋体" w:eastAsia="宋体"/>
          <w:b/>
          <w:color w:val="000000"/>
          <w:sz w:val="28"/>
        </w:rPr>
      </w:pPr>
      <w:r>
        <w:rPr>
          <w:rFonts w:ascii="宋体" w:hAnsi="宋体" w:eastAsia="宋体"/>
          <w:b/>
          <w:color w:val="000000"/>
          <w:sz w:val="28"/>
        </w:rPr>
        <w:t>二、支出预算说明</w:t>
      </w:r>
    </w:p>
    <w:p>
      <w:pPr>
        <w:spacing w:line="480" w:lineRule="auto"/>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rPr>
          <w:rFonts w:ascii="宋体" w:hAnsi="宋体" w:eastAsia="宋体"/>
          <w:b/>
          <w:color w:val="000000"/>
          <w:sz w:val="28"/>
        </w:rPr>
      </w:pPr>
      <w:r>
        <w:rPr>
          <w:rFonts w:ascii="宋体" w:hAnsi="宋体" w:eastAsia="宋体"/>
          <w:b/>
          <w:color w:val="000000"/>
          <w:sz w:val="28"/>
        </w:rPr>
        <w:t>（二）专项项目安排说明</w:t>
      </w:r>
    </w:p>
    <w:p/>
    <w:p>
      <w:pPr>
        <w:spacing w:line="360" w:lineRule="auto"/>
        <w:rPr>
          <w:rFonts w:ascii="宋体" w:hAnsi="宋体" w:eastAsia="宋体"/>
          <w:b/>
          <w:color w:val="000000"/>
          <w:sz w:val="28"/>
        </w:rPr>
      </w:pPr>
    </w:p>
    <w:p>
      <w:pPr>
        <w:spacing w:line="220" w:lineRule="atLeas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新宋体">
    <w:altName w:val="方正书宋_GBK"/>
    <w:panose1 w:val="0201060903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3567470"/>
      <w:docPartObj>
        <w:docPartGallery w:val="AutoText"/>
      </w:docPartObj>
    </w:sdtPr>
    <w:sdtContent>
      <w:p>
        <w:pPr>
          <w:pStyle w:val="5"/>
          <w:jc w:val="right"/>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E6443"/>
    <w:rsid w:val="003008E1"/>
    <w:rsid w:val="00323B43"/>
    <w:rsid w:val="003D37D8"/>
    <w:rsid w:val="00426133"/>
    <w:rsid w:val="004358AB"/>
    <w:rsid w:val="008B7726"/>
    <w:rsid w:val="00924CE7"/>
    <w:rsid w:val="009A56CA"/>
    <w:rsid w:val="00B97569"/>
    <w:rsid w:val="00CD4728"/>
    <w:rsid w:val="00D20EC9"/>
    <w:rsid w:val="00D31D50"/>
    <w:rsid w:val="00D45D9C"/>
    <w:rsid w:val="FC3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6"/>
    <w:qFormat/>
    <w:uiPriority w:val="9"/>
    <w:pPr>
      <w:keepNext/>
      <w:keepLines/>
      <w:widowControl w:val="0"/>
      <w:adjustRightInd/>
      <w:snapToGrid/>
      <w:spacing w:before="340" w:after="330" w:line="578" w:lineRule="auto"/>
      <w:jc w:val="both"/>
      <w:outlineLvl w:val="0"/>
    </w:pPr>
    <w:rPr>
      <w:rFonts w:asciiTheme="minorHAnsi" w:hAnsiTheme="minorHAnsi" w:eastAsiaTheme="minorEastAsia"/>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7"/>
    <w:semiHidden/>
    <w:unhideWhenUsed/>
    <w:qFormat/>
    <w:uiPriority w:val="99"/>
    <w:pPr>
      <w:widowControl w:val="0"/>
      <w:adjustRightInd/>
      <w:snapToGrid/>
      <w:spacing w:after="120"/>
      <w:ind w:left="420" w:leftChars="200"/>
      <w:jc w:val="both"/>
    </w:pPr>
    <w:rPr>
      <w:rFonts w:asciiTheme="minorHAnsi" w:hAnsiTheme="minorHAnsi" w:eastAsiaTheme="minorEastAsia"/>
      <w:kern w:val="2"/>
      <w:sz w:val="21"/>
    </w:rPr>
  </w:style>
  <w:style w:type="paragraph" w:styleId="4">
    <w:name w:val="Balloon Text"/>
    <w:basedOn w:val="1"/>
    <w:link w:val="20"/>
    <w:semiHidden/>
    <w:unhideWhenUsed/>
    <w:qFormat/>
    <w:uiPriority w:val="99"/>
    <w:pPr>
      <w:widowControl w:val="0"/>
      <w:adjustRightInd/>
      <w:snapToGrid/>
      <w:spacing w:after="0"/>
      <w:jc w:val="both"/>
    </w:pPr>
    <w:rPr>
      <w:rFonts w:asciiTheme="minorHAnsi" w:hAnsiTheme="minorHAnsi" w:eastAsiaTheme="minorEastAsia"/>
      <w:kern w:val="2"/>
      <w:sz w:val="18"/>
      <w:szCs w:val="18"/>
    </w:rPr>
  </w:style>
  <w:style w:type="paragraph" w:styleId="5">
    <w:name w:val="footer"/>
    <w:basedOn w:val="1"/>
    <w:link w:val="15"/>
    <w:unhideWhenUsed/>
    <w:qFormat/>
    <w:uiPriority w:val="99"/>
    <w:pPr>
      <w:tabs>
        <w:tab w:val="center" w:pos="4153"/>
        <w:tab w:val="right" w:pos="8306"/>
      </w:tabs>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widowControl w:val="0"/>
      <w:adjustRightInd/>
      <w:snapToGrid/>
      <w:spacing w:after="0"/>
      <w:jc w:val="both"/>
    </w:pPr>
    <w:rPr>
      <w:rFonts w:asciiTheme="minorHAnsi" w:hAnsiTheme="minorHAnsi" w:eastAsiaTheme="minorEastAsia"/>
      <w:kern w:val="2"/>
      <w:sz w:val="21"/>
    </w:rPr>
  </w:style>
  <w:style w:type="paragraph" w:styleId="8">
    <w:name w:val="Normal (Web)"/>
    <w:basedOn w:val="1"/>
    <w:semiHidden/>
    <w:qFormat/>
    <w:uiPriority w:val="0"/>
    <w:pPr>
      <w:adjustRightInd/>
      <w:snapToGrid/>
      <w:spacing w:before="100" w:beforeAutospacing="1" w:after="100" w:afterAutospacing="1"/>
    </w:pPr>
    <w:rPr>
      <w:rFonts w:ascii="宋体" w:hAnsi="宋体" w:eastAsia="宋体" w:cs="宋体"/>
      <w:sz w:val="24"/>
      <w:szCs w:val="24"/>
    </w:rPr>
  </w:style>
  <w:style w:type="paragraph" w:styleId="9">
    <w:name w:val="Title"/>
    <w:basedOn w:val="1"/>
    <w:next w:val="1"/>
    <w:link w:val="19"/>
    <w:qFormat/>
    <w:uiPriority w:val="10"/>
    <w:pPr>
      <w:widowControl w:val="0"/>
      <w:adjustRightInd/>
      <w:snapToGrid/>
      <w:spacing w:before="240" w:after="60"/>
      <w:jc w:val="center"/>
      <w:outlineLvl w:val="0"/>
    </w:pPr>
    <w:rPr>
      <w:rFonts w:ascii="Cambria" w:hAnsi="Cambria" w:eastAsia="宋体" w:cs="Times New Roman"/>
      <w:b/>
      <w:bCs/>
      <w:kern w:val="2"/>
      <w:sz w:val="32"/>
      <w:szCs w:val="32"/>
    </w:rPr>
  </w:style>
  <w:style w:type="paragraph" w:styleId="10">
    <w:name w:val="Body Text First Indent 2"/>
    <w:basedOn w:val="3"/>
    <w:link w:val="18"/>
    <w:unhideWhenUsed/>
    <w:qFormat/>
    <w:uiPriority w:val="99"/>
    <w:pPr>
      <w:spacing w:line="560" w:lineRule="exact"/>
      <w:ind w:firstLine="420" w:firstLineChars="200"/>
    </w:pPr>
    <w:rPr>
      <w:rFonts w:ascii="Calibri" w:hAnsi="Calibri" w:eastAsia="仿宋_GB2312" w:cs="Times New Roman"/>
      <w:sz w:val="32"/>
    </w:rPr>
  </w:style>
  <w:style w:type="character" w:styleId="13">
    <w:name w:val="Hyperlink"/>
    <w:basedOn w:val="12"/>
    <w:unhideWhenUsed/>
    <w:qFormat/>
    <w:uiPriority w:val="99"/>
    <w:rPr>
      <w:color w:val="0000FF" w:themeColor="hyperlink"/>
      <w:u w:val="single"/>
    </w:rPr>
  </w:style>
  <w:style w:type="character" w:customStyle="1" w:styleId="14">
    <w:name w:val="页眉 Char"/>
    <w:basedOn w:val="12"/>
    <w:link w:val="6"/>
    <w:qFormat/>
    <w:uiPriority w:val="99"/>
    <w:rPr>
      <w:rFonts w:ascii="Tahoma" w:hAnsi="Tahoma"/>
      <w:sz w:val="18"/>
      <w:szCs w:val="18"/>
    </w:rPr>
  </w:style>
  <w:style w:type="character" w:customStyle="1" w:styleId="15">
    <w:name w:val="页脚 Char"/>
    <w:basedOn w:val="12"/>
    <w:link w:val="5"/>
    <w:qFormat/>
    <w:uiPriority w:val="99"/>
    <w:rPr>
      <w:rFonts w:ascii="Tahoma" w:hAnsi="Tahoma"/>
      <w:sz w:val="18"/>
      <w:szCs w:val="18"/>
    </w:rPr>
  </w:style>
  <w:style w:type="character" w:customStyle="1" w:styleId="16">
    <w:name w:val="标题 1 Char"/>
    <w:basedOn w:val="12"/>
    <w:link w:val="2"/>
    <w:qFormat/>
    <w:uiPriority w:val="9"/>
    <w:rPr>
      <w:rFonts w:eastAsiaTheme="minorEastAsia"/>
      <w:b/>
      <w:bCs/>
      <w:kern w:val="44"/>
      <w:sz w:val="44"/>
      <w:szCs w:val="44"/>
    </w:rPr>
  </w:style>
  <w:style w:type="character" w:customStyle="1" w:styleId="17">
    <w:name w:val="正文文本缩进 Char"/>
    <w:basedOn w:val="12"/>
    <w:link w:val="3"/>
    <w:semiHidden/>
    <w:qFormat/>
    <w:uiPriority w:val="99"/>
    <w:rPr>
      <w:rFonts w:eastAsiaTheme="minorEastAsia"/>
      <w:kern w:val="2"/>
      <w:sz w:val="21"/>
    </w:rPr>
  </w:style>
  <w:style w:type="character" w:customStyle="1" w:styleId="18">
    <w:name w:val="正文首行缩进 2 Char"/>
    <w:basedOn w:val="17"/>
    <w:link w:val="10"/>
    <w:qFormat/>
    <w:uiPriority w:val="99"/>
    <w:rPr>
      <w:rFonts w:ascii="Calibri" w:hAnsi="Calibri" w:eastAsia="仿宋_GB2312" w:cs="Times New Roman"/>
      <w:kern w:val="2"/>
      <w:sz w:val="32"/>
    </w:rPr>
  </w:style>
  <w:style w:type="character" w:customStyle="1" w:styleId="19">
    <w:name w:val="标题 Char"/>
    <w:basedOn w:val="12"/>
    <w:link w:val="9"/>
    <w:qFormat/>
    <w:uiPriority w:val="10"/>
    <w:rPr>
      <w:rFonts w:ascii="Cambria" w:hAnsi="Cambria" w:eastAsia="宋体" w:cs="Times New Roman"/>
      <w:b/>
      <w:bCs/>
      <w:kern w:val="2"/>
      <w:sz w:val="32"/>
      <w:szCs w:val="32"/>
    </w:rPr>
  </w:style>
  <w:style w:type="character" w:customStyle="1" w:styleId="20">
    <w:name w:val="批注框文本 Char"/>
    <w:basedOn w:val="12"/>
    <w:link w:val="4"/>
    <w:semiHidden/>
    <w:qFormat/>
    <w:uiPriority w:val="99"/>
    <w:rPr>
      <w:rFonts w:eastAsiaTheme="minorEastAsia"/>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5065</Words>
  <Characters>28874</Characters>
  <Lines>240</Lines>
  <Paragraphs>67</Paragraphs>
  <TotalTime>10</TotalTime>
  <ScaleCrop>false</ScaleCrop>
  <LinksUpToDate>false</LinksUpToDate>
  <CharactersWithSpaces>33872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user</dc:creator>
  <cp:lastModifiedBy>user</cp:lastModifiedBy>
  <dcterms:modified xsi:type="dcterms:W3CDTF">2023-09-05T16:44:01Z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